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C67C7">
      <w:pPr>
        <w:spacing w:before="156" w:beforeLines="50" w:after="156" w:afterLines="50" w:line="400" w:lineRule="exact"/>
        <w:ind w:firstLine="5520" w:firstLineChars="2300"/>
        <w:rPr>
          <w:sz w:val="24"/>
          <w:u w:val="single"/>
        </w:rPr>
      </w:pPr>
      <w:bookmarkStart w:id="0" w:name="_GoBack"/>
      <w:bookmarkEnd w:id="0"/>
      <w:r>
        <w:rPr>
          <w:sz w:val="24"/>
        </w:rPr>
        <w:t>合同编号：</w:t>
      </w:r>
      <w:r>
        <w:rPr>
          <w:sz w:val="24"/>
          <w:u w:val="single"/>
        </w:rPr>
        <w:t xml:space="preserve">　  </w:t>
      </w:r>
      <w:r>
        <w:rPr>
          <w:rFonts w:hint="eastAsia"/>
          <w:sz w:val="24"/>
          <w:u w:val="single"/>
        </w:rPr>
        <w:t>　</w:t>
      </w:r>
      <w:r>
        <w:rPr>
          <w:sz w:val="24"/>
          <w:u w:val="single"/>
        </w:rPr>
        <w:t xml:space="preserve">           　　</w:t>
      </w:r>
    </w:p>
    <w:p w14:paraId="2FFEF3DA">
      <w:pPr>
        <w:rPr>
          <w:sz w:val="24"/>
        </w:rPr>
      </w:pPr>
    </w:p>
    <w:p w14:paraId="42E84D71">
      <w:pPr>
        <w:rPr>
          <w:sz w:val="24"/>
        </w:rPr>
      </w:pPr>
    </w:p>
    <w:p w14:paraId="12F42908">
      <w:pPr>
        <w:rPr>
          <w:sz w:val="24"/>
        </w:rPr>
      </w:pPr>
    </w:p>
    <w:p w14:paraId="7638CFFE">
      <w:pPr>
        <w:ind w:firstLine="1040"/>
        <w:jc w:val="center"/>
        <w:rPr>
          <w:rFonts w:ascii="宋体" w:hAnsi="宋体" w:eastAsia="宋体" w:cs="宋体"/>
          <w:sz w:val="24"/>
        </w:rPr>
      </w:pPr>
      <w:r>
        <w:rPr>
          <w:rFonts w:hint="eastAsia" w:ascii="宋体" w:hAnsi="宋体" w:eastAsia="宋体" w:cs="宋体"/>
          <w:sz w:val="52"/>
          <w:szCs w:val="52"/>
        </w:rPr>
        <w:t>温室气体核查合同</w:t>
      </w:r>
    </w:p>
    <w:p w14:paraId="3FA536FE">
      <w:pPr>
        <w:rPr>
          <w:rFonts w:ascii="宋体" w:hAnsi="宋体" w:eastAsia="宋体" w:cs="宋体"/>
          <w:sz w:val="24"/>
        </w:rPr>
      </w:pPr>
    </w:p>
    <w:p w14:paraId="6271A2FB">
      <w:pPr>
        <w:rPr>
          <w:rFonts w:ascii="宋体" w:hAnsi="宋体" w:eastAsia="宋体" w:cs="宋体"/>
          <w:sz w:val="24"/>
        </w:rPr>
      </w:pPr>
    </w:p>
    <w:p w14:paraId="0BD5B242">
      <w:pPr>
        <w:ind w:firstLine="602"/>
        <w:rPr>
          <w:rFonts w:ascii="宋体" w:hAnsi="宋体" w:eastAsia="宋体" w:cs="宋体"/>
          <w:b/>
          <w:sz w:val="30"/>
          <w:szCs w:val="30"/>
        </w:rPr>
      </w:pPr>
      <w:r>
        <w:rPr>
          <w:rFonts w:hint="eastAsia" w:ascii="宋体" w:hAnsi="宋体" w:eastAsia="宋体" w:cs="宋体"/>
          <w:b/>
          <w:sz w:val="30"/>
          <w:szCs w:val="30"/>
        </w:rPr>
        <w:t xml:space="preserve">申请项目名称  </w:t>
      </w:r>
      <w:sdt>
        <w:sdtPr>
          <w:rPr>
            <w:rFonts w:hint="eastAsia" w:ascii="宋体" w:hAnsi="宋体" w:eastAsia="宋体" w:cs="宋体"/>
            <w:b/>
            <w:sz w:val="30"/>
            <w:szCs w:val="30"/>
          </w:rPr>
          <w:id w:val="-2043273538"/>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ascii="MS Gothic" w:hAnsi="MS Gothic" w:eastAsia="宋体" w:cs="宋体"/>
              <w:b/>
              <w:kern w:val="2"/>
              <w:sz w:val="30"/>
              <w:szCs w:val="30"/>
              <w:lang w:val="en-US" w:eastAsia="zh-CN" w:bidi="ar-SA"/>
            </w:rPr>
            <w:t>☐</w:t>
          </w:r>
        </w:sdtContent>
      </w:sdt>
      <w:r>
        <w:rPr>
          <w:rFonts w:hint="eastAsia" w:ascii="宋体" w:hAnsi="宋体" w:eastAsia="宋体" w:cs="宋体"/>
          <w:b/>
          <w:sz w:val="30"/>
          <w:szCs w:val="30"/>
        </w:rPr>
        <w:t>温室气体排放（组织层次）核查：</w:t>
      </w:r>
    </w:p>
    <w:p w14:paraId="4201B4E1">
      <w:pPr>
        <w:ind w:firstLine="602"/>
        <w:jc w:val="center"/>
        <w:rPr>
          <w:rFonts w:ascii="宋体" w:hAnsi="宋体" w:eastAsia="宋体" w:cs="宋体"/>
          <w:b/>
          <w:sz w:val="30"/>
          <w:szCs w:val="30"/>
          <w:u w:val="single"/>
        </w:rPr>
      </w:pPr>
      <w:r>
        <w:rPr>
          <w:rFonts w:ascii="宋体" w:hAnsi="宋体" w:eastAsia="宋体" w:cs="宋体"/>
          <w:b/>
          <w:sz w:val="30"/>
          <w:szCs w:val="30"/>
        </w:rPr>
        <w:t xml:space="preserve">   </w:t>
      </w:r>
      <w:sdt>
        <w:sdtPr>
          <w:rPr>
            <w:rFonts w:hint="eastAsia" w:ascii="宋体" w:hAnsi="宋体" w:eastAsia="宋体" w:cs="宋体"/>
            <w:b/>
            <w:sz w:val="30"/>
            <w:szCs w:val="30"/>
          </w:rPr>
          <w:id w:val="821622525"/>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宋体" w:cs="宋体"/>
              <w:b/>
              <w:kern w:val="2"/>
              <w:sz w:val="30"/>
              <w:szCs w:val="30"/>
              <w:lang w:val="en-US" w:eastAsia="zh-CN" w:bidi="ar-SA"/>
            </w:rPr>
            <w:t>☐</w:t>
          </w:r>
        </w:sdtContent>
      </w:sdt>
      <w:r>
        <w:rPr>
          <w:rFonts w:hint="eastAsia" w:ascii="宋体" w:hAnsi="宋体" w:eastAsia="宋体" w:cs="宋体"/>
          <w:b/>
          <w:sz w:val="30"/>
          <w:szCs w:val="30"/>
        </w:rPr>
        <w:t xml:space="preserve">初次核查 </w:t>
      </w:r>
      <w:r>
        <w:rPr>
          <w:rFonts w:ascii="宋体" w:hAnsi="宋体" w:eastAsia="宋体" w:cs="宋体"/>
          <w:b/>
          <w:sz w:val="30"/>
          <w:szCs w:val="30"/>
        </w:rPr>
        <w:t xml:space="preserve"> </w:t>
      </w:r>
      <w:sdt>
        <w:sdtPr>
          <w:rPr>
            <w:rFonts w:hint="eastAsia" w:ascii="宋体" w:hAnsi="宋体" w:eastAsia="宋体" w:cs="宋体"/>
            <w:b/>
            <w:sz w:val="30"/>
            <w:szCs w:val="30"/>
          </w:rPr>
          <w:id w:val="-1538653368"/>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w:t>
      </w:r>
      <w:r>
        <w:rPr>
          <w:rFonts w:hint="eastAsia" w:ascii="宋体" w:hAnsi="宋体" w:eastAsia="宋体" w:cs="宋体"/>
          <w:b/>
          <w:sz w:val="30"/>
          <w:szCs w:val="30"/>
        </w:rPr>
        <w:t xml:space="preserve">定期核查 </w:t>
      </w:r>
      <w:r>
        <w:rPr>
          <w:rFonts w:ascii="宋体" w:hAnsi="宋体" w:eastAsia="宋体" w:cs="宋体"/>
          <w:b/>
          <w:sz w:val="30"/>
          <w:szCs w:val="30"/>
        </w:rPr>
        <w:t xml:space="preserve"> </w:t>
      </w:r>
      <w:sdt>
        <w:sdtPr>
          <w:rPr>
            <w:rFonts w:hint="eastAsia" w:ascii="宋体" w:hAnsi="宋体" w:eastAsia="宋体" w:cs="宋体"/>
            <w:b/>
            <w:sz w:val="30"/>
            <w:szCs w:val="30"/>
          </w:rPr>
          <w:id w:val="490135326"/>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其他：</w:t>
      </w:r>
      <w:r>
        <w:rPr>
          <w:rFonts w:hint="eastAsia" w:ascii="宋体" w:hAnsi="宋体" w:eastAsia="宋体" w:cs="宋体"/>
          <w:b/>
          <w:sz w:val="30"/>
          <w:szCs w:val="30"/>
          <w:u w:val="single"/>
        </w:rPr>
        <w:t xml:space="preserve"> </w:t>
      </w:r>
      <w:r>
        <w:rPr>
          <w:rFonts w:ascii="宋体" w:hAnsi="宋体" w:eastAsia="宋体" w:cs="宋体"/>
          <w:b/>
          <w:sz w:val="30"/>
          <w:szCs w:val="30"/>
          <w:u w:val="single"/>
        </w:rPr>
        <w:t xml:space="preserve">           </w:t>
      </w:r>
      <w:r>
        <w:rPr>
          <w:rFonts w:hint="eastAsia" w:ascii="宋体" w:hAnsi="宋体" w:eastAsia="宋体" w:cs="宋体"/>
          <w:b/>
          <w:sz w:val="30"/>
          <w:szCs w:val="30"/>
        </w:rPr>
        <w:t xml:space="preserve"> </w:t>
      </w:r>
      <w:r>
        <w:rPr>
          <w:rFonts w:ascii="宋体" w:hAnsi="宋体" w:eastAsia="宋体" w:cs="宋体"/>
          <w:b/>
          <w:sz w:val="30"/>
          <w:szCs w:val="30"/>
        </w:rPr>
        <w:t xml:space="preserve">  </w:t>
      </w:r>
    </w:p>
    <w:p w14:paraId="7CFED51F">
      <w:pPr>
        <w:ind w:firstLine="2711" w:firstLineChars="900"/>
        <w:rPr>
          <w:rFonts w:ascii="宋体" w:hAnsi="宋体" w:eastAsia="宋体" w:cs="宋体"/>
          <w:b/>
          <w:sz w:val="30"/>
          <w:szCs w:val="30"/>
        </w:rPr>
      </w:pPr>
      <w:sdt>
        <w:sdtPr>
          <w:rPr>
            <w:rFonts w:hint="eastAsia" w:ascii="宋体" w:hAnsi="宋体" w:eastAsia="宋体" w:cs="宋体"/>
            <w:b/>
            <w:sz w:val="30"/>
            <w:szCs w:val="30"/>
          </w:rPr>
          <w:id w:val="974261085"/>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hint="eastAsia" w:ascii="宋体" w:hAnsi="宋体" w:eastAsia="宋体" w:cs="宋体"/>
          <w:b/>
          <w:sz w:val="30"/>
          <w:szCs w:val="30"/>
        </w:rPr>
        <w:t>温室气体排放（项目层次）核查：</w:t>
      </w:r>
    </w:p>
    <w:p w14:paraId="31E90D04">
      <w:pPr>
        <w:ind w:firstLine="2711" w:firstLineChars="900"/>
        <w:rPr>
          <w:rFonts w:ascii="宋体" w:hAnsi="宋体" w:eastAsia="宋体" w:cs="宋体"/>
          <w:b/>
          <w:sz w:val="30"/>
          <w:szCs w:val="30"/>
        </w:rPr>
      </w:pPr>
      <w:sdt>
        <w:sdtPr>
          <w:rPr>
            <w:rFonts w:hint="eastAsia" w:ascii="宋体" w:hAnsi="宋体" w:eastAsia="宋体" w:cs="宋体"/>
            <w:b/>
            <w:sz w:val="30"/>
            <w:szCs w:val="30"/>
          </w:rPr>
          <w:id w:val="1333957106"/>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hint="eastAsia" w:ascii="宋体" w:hAnsi="宋体" w:eastAsia="宋体" w:cs="宋体"/>
          <w:b/>
          <w:sz w:val="30"/>
          <w:szCs w:val="30"/>
        </w:rPr>
        <w:t xml:space="preserve">初次核查 </w:t>
      </w:r>
      <w:r>
        <w:rPr>
          <w:rFonts w:ascii="宋体" w:hAnsi="宋体" w:eastAsia="宋体" w:cs="宋体"/>
          <w:b/>
          <w:sz w:val="30"/>
          <w:szCs w:val="30"/>
        </w:rPr>
        <w:t xml:space="preserve"> </w:t>
      </w:r>
      <w:sdt>
        <w:sdtPr>
          <w:rPr>
            <w:rFonts w:hint="eastAsia" w:ascii="宋体" w:hAnsi="宋体" w:eastAsia="宋体" w:cs="宋体"/>
            <w:b/>
            <w:sz w:val="30"/>
            <w:szCs w:val="30"/>
          </w:rPr>
          <w:id w:val="1251080020"/>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w:t>
      </w:r>
      <w:r>
        <w:rPr>
          <w:rFonts w:hint="eastAsia" w:ascii="宋体" w:hAnsi="宋体" w:eastAsia="宋体" w:cs="宋体"/>
          <w:b/>
          <w:sz w:val="30"/>
          <w:szCs w:val="30"/>
        </w:rPr>
        <w:t xml:space="preserve">定期核查 </w:t>
      </w:r>
      <w:r>
        <w:rPr>
          <w:rFonts w:ascii="宋体" w:hAnsi="宋体" w:eastAsia="宋体" w:cs="宋体"/>
          <w:b/>
          <w:sz w:val="30"/>
          <w:szCs w:val="30"/>
        </w:rPr>
        <w:t xml:space="preserve"> </w:t>
      </w:r>
      <w:sdt>
        <w:sdtPr>
          <w:rPr>
            <w:rFonts w:hint="eastAsia" w:ascii="宋体" w:hAnsi="宋体" w:eastAsia="宋体" w:cs="宋体"/>
            <w:b/>
            <w:sz w:val="30"/>
            <w:szCs w:val="30"/>
          </w:rPr>
          <w:id w:val="-1345323170"/>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其他：</w:t>
      </w:r>
      <w:r>
        <w:rPr>
          <w:rFonts w:hint="eastAsia" w:ascii="宋体" w:hAnsi="宋体" w:eastAsia="宋体" w:cs="宋体"/>
          <w:b/>
          <w:sz w:val="30"/>
          <w:szCs w:val="30"/>
          <w:u w:val="single"/>
        </w:rPr>
        <w:t xml:space="preserve"> </w:t>
      </w:r>
      <w:r>
        <w:rPr>
          <w:rFonts w:ascii="宋体" w:hAnsi="宋体" w:eastAsia="宋体" w:cs="宋体"/>
          <w:b/>
          <w:sz w:val="30"/>
          <w:szCs w:val="30"/>
          <w:u w:val="single"/>
        </w:rPr>
        <w:t xml:space="preserve">           </w:t>
      </w:r>
      <w:r>
        <w:rPr>
          <w:rFonts w:hint="eastAsia" w:ascii="宋体" w:hAnsi="宋体" w:eastAsia="宋体" w:cs="宋体"/>
          <w:b/>
          <w:sz w:val="30"/>
          <w:szCs w:val="30"/>
        </w:rPr>
        <w:t xml:space="preserve"> </w:t>
      </w:r>
      <w:r>
        <w:rPr>
          <w:rFonts w:ascii="宋体" w:hAnsi="宋体" w:eastAsia="宋体" w:cs="宋体"/>
          <w:b/>
          <w:sz w:val="30"/>
          <w:szCs w:val="30"/>
        </w:rPr>
        <w:t xml:space="preserve"> </w:t>
      </w:r>
    </w:p>
    <w:p w14:paraId="05FEC658">
      <w:pPr>
        <w:ind w:firstLine="2711" w:firstLineChars="900"/>
        <w:rPr>
          <w:rFonts w:ascii="宋体" w:hAnsi="宋体" w:eastAsia="宋体" w:cs="宋体"/>
          <w:b/>
          <w:sz w:val="30"/>
          <w:szCs w:val="30"/>
        </w:rPr>
      </w:pPr>
      <w:sdt>
        <w:sdtPr>
          <w:rPr>
            <w:rFonts w:hint="eastAsia" w:ascii="宋体" w:hAnsi="宋体" w:eastAsia="宋体" w:cs="宋体"/>
            <w:b/>
            <w:sz w:val="30"/>
            <w:szCs w:val="30"/>
          </w:rPr>
          <w:id w:val="-1218202230"/>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hint="eastAsia" w:ascii="宋体" w:hAnsi="宋体" w:eastAsia="宋体" w:cs="宋体"/>
          <w:b/>
          <w:sz w:val="30"/>
          <w:szCs w:val="30"/>
        </w:rPr>
        <w:t>产品碳足迹 核查：</w:t>
      </w:r>
    </w:p>
    <w:p w14:paraId="50A0D673">
      <w:pPr>
        <w:ind w:firstLine="2711" w:firstLineChars="900"/>
        <w:rPr>
          <w:rFonts w:ascii="宋体" w:hAnsi="宋体" w:eastAsia="宋体" w:cs="宋体"/>
          <w:b/>
          <w:sz w:val="30"/>
          <w:szCs w:val="30"/>
        </w:rPr>
      </w:pPr>
      <w:sdt>
        <w:sdtPr>
          <w:rPr>
            <w:rFonts w:hint="eastAsia" w:ascii="宋体" w:hAnsi="宋体" w:eastAsia="宋体" w:cs="宋体"/>
            <w:b/>
            <w:sz w:val="30"/>
            <w:szCs w:val="30"/>
          </w:rPr>
          <w:id w:val="686566228"/>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hint="eastAsia" w:ascii="宋体" w:hAnsi="宋体" w:eastAsia="宋体" w:cs="宋体"/>
          <w:b/>
          <w:sz w:val="30"/>
          <w:szCs w:val="30"/>
        </w:rPr>
        <w:t xml:space="preserve">初次核查 </w:t>
      </w:r>
      <w:r>
        <w:rPr>
          <w:rFonts w:ascii="宋体" w:hAnsi="宋体" w:eastAsia="宋体" w:cs="宋体"/>
          <w:b/>
          <w:sz w:val="30"/>
          <w:szCs w:val="30"/>
        </w:rPr>
        <w:t xml:space="preserve"> </w:t>
      </w:r>
      <w:sdt>
        <w:sdtPr>
          <w:rPr>
            <w:rFonts w:hint="eastAsia" w:ascii="宋体" w:hAnsi="宋体" w:eastAsia="宋体" w:cs="宋体"/>
            <w:b/>
            <w:sz w:val="30"/>
            <w:szCs w:val="30"/>
          </w:rPr>
          <w:id w:val="1924604913"/>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w:t>
      </w:r>
      <w:r>
        <w:rPr>
          <w:rFonts w:hint="eastAsia" w:ascii="宋体" w:hAnsi="宋体" w:eastAsia="宋体" w:cs="宋体"/>
          <w:b/>
          <w:sz w:val="30"/>
          <w:szCs w:val="30"/>
        </w:rPr>
        <w:t xml:space="preserve">定期核查 </w:t>
      </w:r>
      <w:r>
        <w:rPr>
          <w:rFonts w:ascii="宋体" w:hAnsi="宋体" w:eastAsia="宋体" w:cs="宋体"/>
          <w:b/>
          <w:sz w:val="30"/>
          <w:szCs w:val="30"/>
        </w:rPr>
        <w:t xml:space="preserve"> </w:t>
      </w:r>
      <w:sdt>
        <w:sdtPr>
          <w:rPr>
            <w:rFonts w:hint="eastAsia" w:ascii="宋体" w:hAnsi="宋体" w:eastAsia="宋体" w:cs="宋体"/>
            <w:b/>
            <w:sz w:val="30"/>
            <w:szCs w:val="30"/>
          </w:rPr>
          <w:id w:val="366187348"/>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其他：</w:t>
      </w:r>
      <w:r>
        <w:rPr>
          <w:rFonts w:hint="eastAsia" w:ascii="宋体" w:hAnsi="宋体" w:eastAsia="宋体" w:cs="宋体"/>
          <w:b/>
          <w:sz w:val="30"/>
          <w:szCs w:val="30"/>
          <w:u w:val="single"/>
        </w:rPr>
        <w:t xml:space="preserve"> </w:t>
      </w:r>
      <w:r>
        <w:rPr>
          <w:rFonts w:ascii="宋体" w:hAnsi="宋体" w:eastAsia="宋体" w:cs="宋体"/>
          <w:b/>
          <w:sz w:val="30"/>
          <w:szCs w:val="30"/>
          <w:u w:val="single"/>
        </w:rPr>
        <w:t xml:space="preserve">           </w:t>
      </w:r>
      <w:r>
        <w:rPr>
          <w:rFonts w:hint="eastAsia" w:ascii="宋体" w:hAnsi="宋体" w:eastAsia="宋体" w:cs="宋体"/>
          <w:b/>
          <w:sz w:val="30"/>
          <w:szCs w:val="30"/>
        </w:rPr>
        <w:t xml:space="preserve"> </w:t>
      </w:r>
      <w:r>
        <w:rPr>
          <w:rFonts w:ascii="宋体" w:hAnsi="宋体" w:eastAsia="宋体" w:cs="宋体"/>
          <w:b/>
          <w:sz w:val="30"/>
          <w:szCs w:val="30"/>
        </w:rPr>
        <w:t xml:space="preserve"> </w:t>
      </w:r>
    </w:p>
    <w:p w14:paraId="57440415">
      <w:pPr>
        <w:rPr>
          <w:sz w:val="24"/>
        </w:rPr>
      </w:pPr>
    </w:p>
    <w:p w14:paraId="61BF069B">
      <w:pPr>
        <w:rPr>
          <w:sz w:val="24"/>
        </w:rPr>
      </w:pPr>
    </w:p>
    <w:p w14:paraId="1EDFC0E0">
      <w:pPr>
        <w:rPr>
          <w:sz w:val="24"/>
        </w:rPr>
      </w:pPr>
    </w:p>
    <w:p w14:paraId="62F1F3EA">
      <w:pPr>
        <w:rPr>
          <w:sz w:val="24"/>
        </w:rPr>
      </w:pPr>
    </w:p>
    <w:p w14:paraId="7436F687">
      <w:pPr>
        <w:rPr>
          <w:sz w:val="24"/>
        </w:rPr>
      </w:pPr>
    </w:p>
    <w:p w14:paraId="0E24E7F9">
      <w:pPr>
        <w:rPr>
          <w:sz w:val="24"/>
        </w:rPr>
      </w:pPr>
    </w:p>
    <w:p w14:paraId="541AFDA4">
      <w:pPr>
        <w:rPr>
          <w:sz w:val="24"/>
        </w:rPr>
      </w:pPr>
    </w:p>
    <w:p w14:paraId="629079AA">
      <w:pPr>
        <w:ind w:firstLine="643"/>
        <w:rPr>
          <w:b/>
          <w:bCs/>
          <w:sz w:val="32"/>
          <w:szCs w:val="32"/>
        </w:rPr>
      </w:pPr>
      <w:r>
        <w:rPr>
          <w:b/>
          <w:bCs/>
          <w:sz w:val="32"/>
          <w:szCs w:val="32"/>
        </w:rPr>
        <w:t>委托方（甲方）</w:t>
      </w:r>
      <w:r>
        <w:rPr>
          <w:b/>
          <w:bCs/>
          <w:sz w:val="32"/>
          <w:szCs w:val="32"/>
          <w:u w:val="single"/>
        </w:rPr>
        <w:t xml:space="preserve">      </w:t>
      </w:r>
      <w:r>
        <w:rPr>
          <w:rFonts w:hint="eastAsia"/>
          <w:b/>
          <w:bCs/>
          <w:sz w:val="32"/>
          <w:szCs w:val="32"/>
          <w:u w:val="single"/>
          <w:lang w:val="en-US" w:eastAsia="zh-CN"/>
        </w:rPr>
        <w:t xml:space="preserve">                             </w:t>
      </w:r>
      <w:r>
        <w:rPr>
          <w:b/>
          <w:bCs/>
          <w:sz w:val="32"/>
          <w:szCs w:val="32"/>
          <w:u w:val="single"/>
        </w:rPr>
        <w:t xml:space="preserve">    </w:t>
      </w:r>
    </w:p>
    <w:p w14:paraId="59A10E14">
      <w:pPr>
        <w:rPr>
          <w:sz w:val="24"/>
        </w:rPr>
      </w:pPr>
    </w:p>
    <w:p w14:paraId="565CA13A">
      <w:pPr>
        <w:ind w:firstLine="643"/>
        <w:rPr>
          <w:b/>
          <w:bCs/>
          <w:sz w:val="32"/>
          <w:szCs w:val="32"/>
          <w:u w:val="single"/>
        </w:rPr>
        <w:sectPr>
          <w:headerReference r:id="rId4" w:type="first"/>
          <w:footerReference r:id="rId6" w:type="first"/>
          <w:headerReference r:id="rId3" w:type="default"/>
          <w:footerReference r:id="rId5" w:type="default"/>
          <w:pgSz w:w="11906" w:h="16838"/>
          <w:pgMar w:top="1134" w:right="851" w:bottom="851" w:left="1418" w:header="567" w:footer="567" w:gutter="0"/>
          <w:pgNumType w:start="1"/>
          <w:cols w:space="720" w:num="1"/>
          <w:titlePg/>
          <w:docGrid w:type="lines" w:linePitch="312" w:charSpace="0"/>
        </w:sectPr>
      </w:pPr>
      <w:r>
        <w:rPr>
          <w:rFonts w:hint="eastAsia" w:asciiTheme="minorEastAsia" w:hAnsiTheme="minorEastAsia" w:cstheme="minorEastAsia"/>
          <w:b/>
          <w:bCs/>
          <w:sz w:val="32"/>
          <w:szCs w:val="24"/>
        </w:rPr>
        <w:t>受托</w:t>
      </w:r>
      <w:r>
        <w:rPr>
          <w:b/>
          <w:bCs/>
          <w:sz w:val="32"/>
          <w:szCs w:val="32"/>
        </w:rPr>
        <w:t>方（乙方）</w:t>
      </w:r>
      <w:r>
        <w:rPr>
          <w:b/>
          <w:bCs/>
          <w:sz w:val="32"/>
          <w:szCs w:val="32"/>
          <w:u w:val="single"/>
        </w:rPr>
        <w:t xml:space="preserve">      北京新纪源认证有限公司         </w:t>
      </w:r>
    </w:p>
    <w:p w14:paraId="0628698A">
      <w:pPr>
        <w:spacing w:line="360" w:lineRule="auto"/>
        <w:ind w:firstLine="482"/>
        <w:rPr>
          <w:rFonts w:ascii="Times New Roman" w:hAnsi="Times New Roman" w:eastAsia="宋体" w:cs="Times New Roman"/>
          <w:sz w:val="24"/>
          <w:szCs w:val="24"/>
        </w:rPr>
      </w:pPr>
      <w:r>
        <w:rPr>
          <w:rFonts w:ascii="Times New Roman" w:hAnsi="Times New Roman" w:eastAsia="宋体" w:cs="Times New Roman"/>
          <w:b/>
          <w:bCs/>
          <w:sz w:val="24"/>
          <w:szCs w:val="24"/>
        </w:rPr>
        <w:t>第一条</w:t>
      </w:r>
      <w:r>
        <w:rPr>
          <w:rFonts w:ascii="Times New Roman" w:hAnsi="Times New Roman" w:eastAsia="宋体" w:cs="Times New Roman"/>
          <w:sz w:val="24"/>
          <w:szCs w:val="24"/>
        </w:rPr>
        <w:t xml:space="preserve"> 根据甲方的委托，乙方</w:t>
      </w:r>
      <w:r>
        <w:rPr>
          <w:rFonts w:hint="eastAsia" w:ascii="Times New Roman" w:hAnsi="Times New Roman" w:eastAsia="宋体" w:cs="Times New Roman"/>
          <w:sz w:val="24"/>
          <w:szCs w:val="24"/>
        </w:rPr>
        <w:t>（北京新纪源认证有限公司）</w:t>
      </w:r>
      <w:r>
        <w:rPr>
          <w:rFonts w:ascii="Times New Roman" w:hAnsi="Times New Roman" w:eastAsia="宋体" w:cs="Times New Roman"/>
          <w:sz w:val="24"/>
          <w:szCs w:val="24"/>
        </w:rPr>
        <w:t>为甲方提供温室气体</w:t>
      </w:r>
      <w:r>
        <w:rPr>
          <w:rFonts w:hint="eastAsia" w:ascii="Times New Roman" w:hAnsi="Times New Roman" w:eastAsia="宋体" w:cs="Times New Roman"/>
          <w:sz w:val="24"/>
          <w:szCs w:val="24"/>
        </w:rPr>
        <w:t>核查</w:t>
      </w:r>
      <w:r>
        <w:rPr>
          <w:rFonts w:ascii="Times New Roman" w:hAnsi="Times New Roman" w:eastAsia="宋体" w:cs="Times New Roman"/>
          <w:sz w:val="24"/>
          <w:szCs w:val="24"/>
        </w:rPr>
        <w:t>相关的服务；甲方为乙方的</w:t>
      </w:r>
      <w:r>
        <w:rPr>
          <w:rFonts w:hint="eastAsia" w:ascii="Times New Roman" w:hAnsi="Times New Roman" w:eastAsia="宋体" w:cs="Times New Roman"/>
          <w:sz w:val="24"/>
          <w:szCs w:val="24"/>
        </w:rPr>
        <w:t>核查</w:t>
      </w:r>
      <w:r>
        <w:rPr>
          <w:rFonts w:ascii="Times New Roman" w:hAnsi="Times New Roman" w:eastAsia="宋体" w:cs="Times New Roman"/>
          <w:sz w:val="24"/>
          <w:szCs w:val="24"/>
        </w:rPr>
        <w:t>活动提供必要的信息和设施。依照《中华人民共和国民法典》的有关规定，经双方平等协商，达成一致意见，签订本合同，并承诺共同遵守。</w:t>
      </w:r>
    </w:p>
    <w:p w14:paraId="6EB0F09C">
      <w:pPr>
        <w:tabs>
          <w:tab w:val="left" w:pos="315"/>
        </w:tabs>
        <w:spacing w:line="360" w:lineRule="auto"/>
        <w:ind w:firstLine="482"/>
        <w:rPr>
          <w:rFonts w:ascii="Times New Roman" w:hAnsi="Times New Roman" w:eastAsia="宋体" w:cs="Times New Roman"/>
          <w:sz w:val="24"/>
        </w:rPr>
      </w:pPr>
      <w:r>
        <w:rPr>
          <w:rFonts w:ascii="Times New Roman" w:hAnsi="Times New Roman" w:eastAsia="宋体" w:cs="Times New Roman"/>
          <w:b/>
          <w:bCs/>
          <w:sz w:val="24"/>
          <w:szCs w:val="24"/>
        </w:rPr>
        <w:t>第二条</w:t>
      </w:r>
      <w:r>
        <w:rPr>
          <w:rFonts w:ascii="Times New Roman" w:hAnsi="Times New Roman" w:eastAsia="宋体" w:cs="Times New Roman"/>
          <w:sz w:val="24"/>
          <w:szCs w:val="24"/>
        </w:rPr>
        <w:t xml:space="preserve"> </w:t>
      </w:r>
      <w:r>
        <w:rPr>
          <w:rFonts w:ascii="Times New Roman" w:hAnsi="Times New Roman" w:eastAsia="宋体" w:cs="Times New Roman"/>
          <w:sz w:val="24"/>
        </w:rPr>
        <w:t>经双方商定本合同核查所覆盖的温室气体排放地理边界为：</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u w:val="single"/>
          <w:lang w:val="en-US" w:eastAsia="zh-CN"/>
        </w:rPr>
        <w:t xml:space="preserve">                          </w:t>
      </w:r>
      <w:r>
        <w:rPr>
          <w:rFonts w:ascii="Times New Roman" w:hAnsi="Times New Roman" w:eastAsia="宋体" w:cs="Times New Roman"/>
          <w:sz w:val="24"/>
        </w:rPr>
        <w:t>；</w:t>
      </w:r>
    </w:p>
    <w:p w14:paraId="136E19E7">
      <w:pPr>
        <w:tabs>
          <w:tab w:val="left" w:pos="315"/>
        </w:tabs>
        <w:spacing w:line="360" w:lineRule="auto"/>
        <w:rPr>
          <w:rFonts w:ascii="Times New Roman" w:hAnsi="Times New Roman" w:eastAsia="宋体" w:cs="Times New Roman"/>
          <w:sz w:val="24"/>
        </w:rPr>
      </w:pPr>
      <w:r>
        <w:rPr>
          <w:rFonts w:ascii="Times New Roman" w:hAnsi="Times New Roman" w:eastAsia="宋体" w:cs="Times New Roman"/>
          <w:sz w:val="24"/>
        </w:rPr>
        <w:t>时间界限为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年</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rPr>
        <w:t>月</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日至</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年</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rPr>
        <w:t>月</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日</w:t>
      </w:r>
      <w:r>
        <w:rPr>
          <w:rFonts w:hint="eastAsia" w:ascii="Times New Roman" w:hAnsi="Times New Roman" w:eastAsia="宋体" w:cs="Times New Roman"/>
          <w:sz w:val="24"/>
        </w:rPr>
        <w:t>；</w:t>
      </w:r>
    </w:p>
    <w:p w14:paraId="42CF92CF">
      <w:pPr>
        <w:tabs>
          <w:tab w:val="left" w:pos="315"/>
        </w:tabs>
        <w:spacing w:line="360" w:lineRule="auto"/>
        <w:rPr>
          <w:rFonts w:ascii="宋体" w:hAnsi="宋体" w:eastAsia="宋体" w:cs="宋体"/>
          <w:sz w:val="24"/>
        </w:rPr>
      </w:pPr>
      <w:r>
        <w:rPr>
          <w:rFonts w:hint="eastAsia" w:ascii="Times New Roman" w:hAnsi="Times New Roman" w:eastAsia="宋体" w:cs="Times New Roman"/>
          <w:sz w:val="24"/>
        </w:rPr>
        <w:t>产品碳足迹</w:t>
      </w:r>
      <w:r>
        <w:rPr>
          <w:rFonts w:hint="eastAsia" w:ascii="宋体" w:hAnsi="宋体" w:eastAsia="宋体" w:cs="宋体"/>
          <w:sz w:val="24"/>
        </w:rPr>
        <w:t>生命周期系统边界为：</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。（产品碳足迹核查必填，其他类型核查不填）</w:t>
      </w:r>
    </w:p>
    <w:p w14:paraId="4A9F47D5">
      <w:pPr>
        <w:tabs>
          <w:tab w:val="left" w:pos="315"/>
        </w:tabs>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第三条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甲方需要申请的温室气体排放量活动：(请在所需活动类型前打“</w:t>
      </w:r>
      <w:r>
        <w:rPr>
          <w:rFonts w:hint="eastAsia" w:ascii="宋体" w:hAnsi="宋体" w:eastAsia="宋体" w:cs="宋体"/>
          <w:sz w:val="24"/>
          <w:szCs w:val="24"/>
        </w:rPr>
        <w:sym w:font="Wingdings" w:char="F0FC"/>
      </w:r>
      <w:r>
        <w:rPr>
          <w:rFonts w:hint="eastAsia" w:ascii="宋体" w:hAnsi="宋体" w:eastAsia="宋体" w:cs="宋体"/>
          <w:sz w:val="24"/>
          <w:szCs w:val="24"/>
        </w:rPr>
        <w:t>”)</w:t>
      </w:r>
    </w:p>
    <w:p w14:paraId="57D61F3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GHG 核查服务类型</w:t>
      </w:r>
      <w:r>
        <w:rPr>
          <w:rFonts w:hint="eastAsia" w:ascii="Times New Roman" w:hAnsi="Times New Roman" w:eastAsia="宋体" w:cs="Times New Roman"/>
          <w:sz w:val="24"/>
          <w:szCs w:val="24"/>
        </w:rPr>
        <w:t>及核查依据准则</w:t>
      </w:r>
      <w:r>
        <w:rPr>
          <w:rFonts w:ascii="Times New Roman" w:hAnsi="Times New Roman" w:eastAsia="宋体" w:cs="Times New Roman"/>
          <w:sz w:val="24"/>
          <w:szCs w:val="24"/>
        </w:rPr>
        <w:t xml:space="preserve">： </w:t>
      </w:r>
    </w:p>
    <w:p w14:paraId="214F5F1F">
      <w:pPr>
        <w:spacing w:line="360" w:lineRule="auto"/>
        <w:ind w:firstLine="480" w:firstLineChars="200"/>
        <w:rPr>
          <w:rFonts w:ascii="Times New Roman" w:hAnsi="Times New Roman" w:eastAsia="宋体" w:cs="Times New Roman"/>
          <w:sz w:val="32"/>
          <w:szCs w:val="24"/>
        </w:rPr>
      </w:pPr>
      <w:r>
        <w:rPr>
          <w:rFonts w:ascii="Times New Roman" w:hAnsi="Times New Roman" w:eastAsia="宋体" w:cs="Times New Roman"/>
          <w:sz w:val="24"/>
          <w:szCs w:val="24"/>
        </w:rPr>
        <w:t xml:space="preserve"> </w:t>
      </w:r>
      <w:sdt>
        <w:sdtPr>
          <w:rPr>
            <w:rFonts w:ascii="Times New Roman" w:hAnsi="Times New Roman" w:eastAsia="宋体" w:cs="Times New Roman"/>
            <w:sz w:val="24"/>
            <w:szCs w:val="24"/>
          </w:rPr>
          <w:id w:val="121813713"/>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MS Gothic" w:hAnsi="MS Gothic" w:eastAsia="宋体" w:cs="Times New Roman"/>
              <w:kern w:val="2"/>
              <w:sz w:val="24"/>
              <w:szCs w:val="24"/>
              <w:lang w:val="en-US" w:eastAsia="zh-CN" w:bidi="ar-SA"/>
            </w:rPr>
            <w:t>☐</w:t>
          </w:r>
        </w:sdtContent>
      </w:sdt>
      <w:r>
        <w:rPr>
          <w:rFonts w:ascii="Times New Roman" w:hAnsi="Times New Roman" w:eastAsia="宋体" w:cs="Times New Roman"/>
          <w:sz w:val="24"/>
          <w:szCs w:val="24"/>
        </w:rPr>
        <w:t xml:space="preserve"> 组织层次核查； ISO 14064-1</w:t>
      </w:r>
      <w:r>
        <w:rPr>
          <w:rFonts w:hint="eastAsia" w:ascii="Times New Roman" w:hAnsi="Times New Roman" w:eastAsia="宋体" w:cs="Times New Roman"/>
          <w:sz w:val="24"/>
          <w:szCs w:val="24"/>
        </w:rPr>
        <w:t>、</w:t>
      </w:r>
      <w:r>
        <w:rPr>
          <w:rFonts w:ascii="Times New Roman" w:hAnsi="Times New Roman" w:eastAsia="宋体" w:cs="Times New Roman"/>
          <w:sz w:val="24"/>
          <w:szCs w:val="24"/>
        </w:rPr>
        <w:t>ISO 14064-3</w:t>
      </w:r>
      <w:r>
        <w:rPr>
          <w:rFonts w:hint="eastAsia" w:ascii="Times New Roman" w:hAnsi="Times New Roman" w:eastAsia="宋体" w:cs="Times New Roman"/>
          <w:sz w:val="24"/>
          <w:szCs w:val="24"/>
        </w:rPr>
        <w:t>、</w:t>
      </w:r>
      <w:r>
        <w:rPr>
          <w:rFonts w:hint="eastAsia" w:ascii="宋体" w:hAnsi="宋体" w:eastAsia="宋体"/>
          <w:bCs/>
          <w:sz w:val="24"/>
          <w:szCs w:val="21"/>
        </w:rPr>
        <w:t>企业核算报告程序及相关文件、法律法规和排放报告采用的</w:t>
      </w:r>
      <w:r>
        <w:rPr>
          <w:rFonts w:hint="eastAsia" w:ascii="宋体" w:hAnsi="宋体" w:eastAsia="宋体" w:cs="Tahoma"/>
          <w:sz w:val="24"/>
          <w:szCs w:val="21"/>
        </w:rPr>
        <w:t>区域地方核算标准；</w:t>
      </w:r>
    </w:p>
    <w:p w14:paraId="1C332D3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sdt>
        <w:sdtPr>
          <w:rPr>
            <w:rFonts w:ascii="Times New Roman" w:hAnsi="Times New Roman" w:eastAsia="宋体" w:cs="Times New Roman"/>
            <w:sz w:val="24"/>
            <w:szCs w:val="24"/>
          </w:rPr>
          <w:id w:val="-1678107165"/>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rPr>
        <w:t xml:space="preserve"> 项目层次核查</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ISO 14064-2</w:t>
      </w:r>
      <w:r>
        <w:rPr>
          <w:rFonts w:hint="eastAsia" w:ascii="Times New Roman" w:hAnsi="Times New Roman" w:eastAsia="宋体" w:cs="Times New Roman"/>
          <w:sz w:val="24"/>
          <w:szCs w:val="24"/>
        </w:rPr>
        <w:t>、</w:t>
      </w:r>
      <w:r>
        <w:rPr>
          <w:rFonts w:ascii="Times New Roman" w:hAnsi="Times New Roman" w:eastAsia="宋体" w:cs="Times New Roman"/>
          <w:sz w:val="24"/>
          <w:szCs w:val="24"/>
        </w:rPr>
        <w:t>ISO 14064-3</w:t>
      </w:r>
      <w:r>
        <w:rPr>
          <w:rFonts w:hint="eastAsia" w:ascii="Times New Roman" w:hAnsi="Times New Roman" w:eastAsia="宋体" w:cs="Times New Roman"/>
          <w:sz w:val="24"/>
          <w:szCs w:val="24"/>
        </w:rPr>
        <w:t>、</w:t>
      </w:r>
      <w:r>
        <w:rPr>
          <w:rFonts w:hint="eastAsia" w:ascii="宋体" w:hAnsi="宋体" w:eastAsia="宋体"/>
          <w:bCs/>
          <w:sz w:val="24"/>
          <w:szCs w:val="21"/>
        </w:rPr>
        <w:t>企业核算报告程序及相关文件、法律法规和排放报告采用的</w:t>
      </w:r>
      <w:r>
        <w:rPr>
          <w:rFonts w:hint="eastAsia" w:ascii="宋体" w:hAnsi="宋体" w:eastAsia="宋体" w:cs="Tahoma"/>
          <w:sz w:val="24"/>
          <w:szCs w:val="21"/>
        </w:rPr>
        <w:t>区域地方核算标准</w:t>
      </w:r>
      <w:r>
        <w:rPr>
          <w:rFonts w:hint="eastAsia" w:ascii="Times New Roman" w:hAnsi="Times New Roman" w:eastAsia="宋体" w:cs="Times New Roman"/>
          <w:sz w:val="24"/>
          <w:szCs w:val="24"/>
        </w:rPr>
        <w:t>；</w:t>
      </w:r>
    </w:p>
    <w:p w14:paraId="4F5711B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sdt>
        <w:sdtPr>
          <w:rPr>
            <w:rFonts w:ascii="Times New Roman" w:hAnsi="Times New Roman" w:eastAsia="宋体" w:cs="Times New Roman"/>
            <w:sz w:val="24"/>
            <w:szCs w:val="24"/>
          </w:rPr>
          <w:id w:val="-363441397"/>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产品碳足迹核查；</w:t>
      </w:r>
      <w:r>
        <w:rPr>
          <w:rFonts w:ascii="Times New Roman" w:hAnsi="Times New Roman" w:eastAsia="宋体" w:cs="Times New Roman"/>
          <w:sz w:val="24"/>
          <w:szCs w:val="24"/>
        </w:rPr>
        <w:t>ISO 1406</w:t>
      </w:r>
      <w:r>
        <w:rPr>
          <w:rFonts w:hint="eastAsia" w:ascii="Times New Roman" w:hAnsi="Times New Roman" w:eastAsia="宋体" w:cs="Times New Roman"/>
          <w:sz w:val="24"/>
          <w:szCs w:val="24"/>
        </w:rPr>
        <w:t>7、</w:t>
      </w:r>
      <w:r>
        <w:rPr>
          <w:rFonts w:hint="eastAsia" w:ascii="宋体" w:hAnsi="宋体" w:eastAsia="宋体"/>
          <w:bCs/>
          <w:sz w:val="24"/>
          <w:szCs w:val="21"/>
        </w:rPr>
        <w:t>企业核算报告程序及相关文件、法律法规和排放报告采用的</w:t>
      </w:r>
      <w:r>
        <w:rPr>
          <w:rFonts w:hint="eastAsia" w:ascii="宋体" w:hAnsi="宋体" w:eastAsia="宋体" w:cs="Tahoma"/>
          <w:sz w:val="24"/>
          <w:szCs w:val="21"/>
        </w:rPr>
        <w:t>区域地方核算标准。</w:t>
      </w:r>
    </w:p>
    <w:p w14:paraId="630CED24">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组织/</w:t>
      </w: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/产品</w:t>
      </w:r>
      <w:r>
        <w:rPr>
          <w:rFonts w:ascii="Times New Roman" w:hAnsi="Times New Roman" w:eastAsia="宋体" w:cs="Times New Roman"/>
          <w:sz w:val="24"/>
          <w:szCs w:val="24"/>
        </w:rPr>
        <w:t>名称</w:t>
      </w:r>
      <w:r>
        <w:rPr>
          <w:rFonts w:hint="eastAsia" w:ascii="Times New Roman" w:hAnsi="Times New Roman" w:eastAsia="宋体" w:cs="Times New Roman"/>
          <w:sz w:val="24"/>
          <w:szCs w:val="24"/>
        </w:rPr>
        <w:t>（产品需写清型号）</w:t>
      </w: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0188B55">
      <w:pPr>
        <w:numPr>
          <w:ilvl w:val="0"/>
          <w:numId w:val="1"/>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GHG 核查的范围</w:t>
      </w:r>
    </w:p>
    <w:p w14:paraId="08B6085E">
      <w:pPr>
        <w:numPr>
          <w:ilvl w:val="255"/>
          <w:numId w:val="0"/>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此范围至少应包括下列内容：</w:t>
      </w:r>
    </w:p>
    <w:p w14:paraId="50EB068A">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组织边界，或 GHG项目及其基</w:t>
      </w:r>
      <w:r>
        <w:rPr>
          <w:rFonts w:hint="eastAsia" w:ascii="Times New Roman" w:hAnsi="Times New Roman" w:eastAsia="宋体" w:cs="Times New Roman"/>
          <w:sz w:val="24"/>
          <w:szCs w:val="24"/>
        </w:rPr>
        <w:t>准</w:t>
      </w:r>
      <w:r>
        <w:rPr>
          <w:rFonts w:ascii="Times New Roman" w:hAnsi="Times New Roman" w:eastAsia="宋体" w:cs="Times New Roman"/>
          <w:sz w:val="24"/>
          <w:szCs w:val="24"/>
        </w:rPr>
        <w:t xml:space="preserve">线情景； </w:t>
      </w:r>
    </w:p>
    <w:p w14:paraId="6B43BAD9">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 xml:space="preserve">组织或 GHG项目的基础设施、活动、技术和过程； </w:t>
      </w:r>
    </w:p>
    <w:p w14:paraId="0301DBFA">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 xml:space="preserve">GHG源、汇和/或库； </w:t>
      </w:r>
    </w:p>
    <w:p w14:paraId="356C42FD">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 xml:space="preserve">GHG的类型； </w:t>
      </w:r>
    </w:p>
    <w:p w14:paraId="20E0BE47">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时间段</w:t>
      </w:r>
      <w:r>
        <w:rPr>
          <w:rFonts w:hint="eastAsia" w:ascii="Times New Roman" w:hAnsi="Times New Roman" w:eastAsia="宋体" w:cs="Times New Roman"/>
          <w:sz w:val="24"/>
          <w:szCs w:val="24"/>
        </w:rPr>
        <w:t xml:space="preserve"> </w:t>
      </w:r>
    </w:p>
    <w:p w14:paraId="6257F8C3">
      <w:pPr>
        <w:numPr>
          <w:ilvl w:val="255"/>
          <w:numId w:val="0"/>
        </w:numPr>
        <w:spacing w:line="360" w:lineRule="auto"/>
        <w:ind w:left="432"/>
        <w:rPr>
          <w:rFonts w:ascii="Times New Roman" w:hAnsi="Times New Roman" w:eastAsia="宋体" w:cs="Times New Roman"/>
          <w:sz w:val="24"/>
          <w:szCs w:val="24"/>
        </w:rPr>
      </w:pPr>
      <w:r>
        <w:rPr>
          <w:rFonts w:ascii="Times New Roman" w:hAnsi="Times New Roman" w:eastAsia="宋体" w:cs="Times New Roman"/>
          <w:sz w:val="24"/>
          <w:szCs w:val="24"/>
        </w:rPr>
        <w:t>最终的范围以乙方现场核查后确认的范围为准：</w:t>
      </w:r>
    </w:p>
    <w:p w14:paraId="75EF177E">
      <w:pPr>
        <w:spacing w:line="360" w:lineRule="auto"/>
        <w:ind w:left="420"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位于XX省XX市XXX的XXXXX公司从事XXXXX加工生产的经营设施于XXX年度所产生的温室气体排放。</w:t>
      </w:r>
      <w:r>
        <w:rPr>
          <w:rFonts w:ascii="Times New Roman" w:hAnsi="Times New Roman" w:eastAsia="宋体" w:cs="Times New Roman"/>
          <w:sz w:val="24"/>
          <w:szCs w:val="24"/>
          <w:u w:val="single"/>
        </w:rPr>
        <w:t xml:space="preserve"> </w:t>
      </w:r>
    </w:p>
    <w:p w14:paraId="7803E58F">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 xml:space="preserve">温室气体类别：   </w:t>
      </w:r>
    </w:p>
    <w:p w14:paraId="0CA9812A">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1002813813"/>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MS Gothic" w:hAnsi="MS Gothic" w:eastAsia="宋体" w:cs="Times New Roman"/>
              <w:kern w:val="2"/>
              <w:sz w:val="24"/>
              <w:szCs w:val="24"/>
              <w:lang w:val="en-US" w:eastAsia="zh-CN" w:bidi="ar-SA"/>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类别1</w:t>
      </w:r>
      <w:r>
        <w:rPr>
          <w:rFonts w:ascii="Times New Roman" w:hAnsi="Times New Roman" w:eastAsia="宋体" w:cs="Times New Roman"/>
          <w:sz w:val="24"/>
          <w:szCs w:val="24"/>
        </w:rPr>
        <w:t xml:space="preserve">（温室气体的直接排放和清除）  </w:t>
      </w:r>
    </w:p>
    <w:p w14:paraId="440E4299">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25679141"/>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MS Gothic" w:hAnsi="MS Gothic" w:eastAsia="宋体" w:cs="Times New Roman"/>
              <w:kern w:val="2"/>
              <w:sz w:val="24"/>
              <w:szCs w:val="24"/>
              <w:lang w:val="en-US" w:eastAsia="zh-CN" w:bidi="ar-SA"/>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w:t>
      </w:r>
      <w:r>
        <w:rPr>
          <w:rFonts w:ascii="Times New Roman" w:hAnsi="Times New Roman" w:eastAsia="宋体" w:cs="Times New Roman"/>
          <w:sz w:val="24"/>
          <w:szCs w:val="24"/>
        </w:rPr>
        <w:t xml:space="preserve">2（输入能源产生的的间接温室气体排放） </w:t>
      </w:r>
    </w:p>
    <w:p w14:paraId="7BBAE76F">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1971939196"/>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Segoe UI Symbol" w:hAnsi="Segoe UI Symbol" w:eastAsia="宋体" w:cs="Segoe UI Symbol"/>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类别3（交通运输的间接温室气体排放）</w:t>
      </w:r>
      <w:r>
        <w:rPr>
          <w:rFonts w:ascii="Times New Roman" w:hAnsi="Times New Roman" w:eastAsia="宋体" w:cs="Times New Roman"/>
          <w:sz w:val="24"/>
          <w:szCs w:val="24"/>
        </w:rPr>
        <w:t xml:space="preserve"> </w:t>
      </w:r>
    </w:p>
    <w:p w14:paraId="536A510F">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2104183072"/>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Segoe UI Symbol" w:hAnsi="Segoe UI Symbol" w:eastAsia="宋体" w:cs="Segoe UI Symbol"/>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类别4（组织所用产品产生的的间接温室气体排放）</w:t>
      </w:r>
      <w:r>
        <w:rPr>
          <w:rFonts w:ascii="Times New Roman" w:hAnsi="Times New Roman" w:eastAsia="宋体" w:cs="Times New Roman"/>
          <w:sz w:val="24"/>
          <w:szCs w:val="24"/>
        </w:rPr>
        <w:t xml:space="preserve"> </w:t>
      </w:r>
    </w:p>
    <w:p w14:paraId="70CD7883">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1423299546"/>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Segoe UI Symbol" w:hAnsi="Segoe UI Symbol" w:eastAsia="宋体" w:cs="Segoe UI Symbol"/>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类别5（与使用组织产品相关的间接温室气体排放）</w:t>
      </w:r>
      <w:r>
        <w:rPr>
          <w:rFonts w:ascii="Times New Roman" w:hAnsi="Times New Roman" w:eastAsia="宋体" w:cs="Times New Roman"/>
          <w:sz w:val="24"/>
          <w:szCs w:val="24"/>
        </w:rPr>
        <w:t xml:space="preserve"> </w:t>
      </w:r>
    </w:p>
    <w:p w14:paraId="423746C5">
      <w:pPr>
        <w:spacing w:line="360" w:lineRule="auto"/>
        <w:ind w:left="432"/>
        <w:rPr>
          <w:rFonts w:ascii="Times New Roman" w:hAnsi="Times New Roman" w:eastAsia="宋体" w:cs="Times New Roman"/>
          <w:sz w:val="24"/>
          <w:szCs w:val="24"/>
          <w:u w:val="single"/>
        </w:rPr>
      </w:pPr>
      <w:sdt>
        <w:sdtPr>
          <w:rPr>
            <w:rFonts w:ascii="Times New Roman" w:hAnsi="Times New Roman" w:eastAsia="宋体" w:cs="Times New Roman"/>
            <w:sz w:val="24"/>
            <w:szCs w:val="24"/>
          </w:rPr>
          <w:id w:val="-1855252013"/>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Segoe UI Symbol" w:hAnsi="Segoe UI Symbol" w:eastAsia="宋体" w:cs="Segoe UI Symbol"/>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类别6</w:t>
      </w:r>
      <w:r>
        <w:rPr>
          <w:rFonts w:ascii="Times New Roman" w:hAnsi="Times New Roman" w:eastAsia="宋体" w:cs="Times New Roman"/>
          <w:sz w:val="24"/>
          <w:szCs w:val="24"/>
        </w:rPr>
        <w:t xml:space="preserve"> （其他来源的间接温室气体排放）</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p>
    <w:p w14:paraId="52F7CD35">
      <w:pPr>
        <w:spacing w:line="360" w:lineRule="auto"/>
        <w:ind w:firstLine="482"/>
        <w:rPr>
          <w:rFonts w:ascii="Times New Roman" w:hAnsi="Times New Roman" w:eastAsia="宋体" w:cs="Times New Roman"/>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五</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本合同涉及的核查费用见本合同第</w:t>
      </w:r>
      <w:r>
        <w:rPr>
          <w:rFonts w:hint="eastAsia" w:ascii="Times New Roman" w:hAnsi="Times New Roman" w:eastAsia="宋体" w:cs="Times New Roman"/>
          <w:sz w:val="24"/>
          <w:szCs w:val="24"/>
        </w:rPr>
        <w:t>六</w:t>
      </w:r>
      <w:r>
        <w:rPr>
          <w:rFonts w:ascii="Times New Roman" w:hAnsi="Times New Roman" w:eastAsia="宋体" w:cs="Times New Roman"/>
          <w:sz w:val="24"/>
          <w:szCs w:val="24"/>
        </w:rPr>
        <w:t>条，包含核查所发生的食宿费和差旅费用。乙方向甲方交付成果：《</w:t>
      </w:r>
      <w:r>
        <w:rPr>
          <w:rFonts w:hint="eastAsia" w:ascii="Times New Roman" w:hAnsi="Times New Roman" w:eastAsia="宋体" w:cs="Times New Roman"/>
          <w:sz w:val="24"/>
          <w:szCs w:val="24"/>
        </w:rPr>
        <w:t>温室气体（组织层次/项目层次）核查陈述</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w:t>
      </w:r>
      <w:r>
        <w:rPr>
          <w:rFonts w:ascii="Times New Roman" w:hAnsi="Times New Roman" w:eastAsia="宋体" w:cs="Times New Roman"/>
          <w:sz w:val="24"/>
          <w:szCs w:val="24"/>
        </w:rPr>
        <w:t>《</w:t>
      </w:r>
      <w:r>
        <w:rPr>
          <w:rFonts w:hint="eastAsia" w:ascii="Times New Roman" w:hAnsi="Times New Roman" w:eastAsia="宋体" w:cs="Times New Roman"/>
          <w:sz w:val="24"/>
          <w:szCs w:val="24"/>
        </w:rPr>
        <w:t>产品碳足迹核查证书</w:t>
      </w:r>
      <w:r>
        <w:rPr>
          <w:rFonts w:ascii="Times New Roman" w:hAnsi="Times New Roman" w:eastAsia="宋体" w:cs="Times New Roman"/>
          <w:sz w:val="24"/>
          <w:szCs w:val="24"/>
        </w:rPr>
        <w:t>》及核查报告。</w:t>
      </w:r>
    </w:p>
    <w:p w14:paraId="03D8BA4F">
      <w:pPr>
        <w:spacing w:line="360" w:lineRule="auto"/>
        <w:ind w:firstLine="482"/>
        <w:rPr>
          <w:rFonts w:ascii="宋体" w:hAnsi="宋体" w:eastAsia="宋体"/>
          <w:szCs w:val="21"/>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六</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p>
    <w:p w14:paraId="271DACAB">
      <w:pPr>
        <w:spacing w:line="360" w:lineRule="auto"/>
        <w:rPr>
          <w:rFonts w:ascii="宋体" w:hAnsi="宋体" w:eastAsia="宋体"/>
          <w:sz w:val="24"/>
          <w:szCs w:val="24"/>
        </w:rPr>
      </w:pPr>
      <w:r>
        <w:rPr>
          <w:rFonts w:hint="eastAsia" w:ascii="宋体" w:hAnsi="宋体" w:eastAsia="宋体"/>
          <w:sz w:val="24"/>
          <w:szCs w:val="24"/>
        </w:rPr>
        <w:t>保证等级：</w:t>
      </w:r>
      <w:sdt>
        <w:sdtPr>
          <w:rPr>
            <w:rFonts w:ascii="MS Gothic" w:hAnsi="MS Gothic" w:eastAsia="MS Gothic" w:cs="Segoe UI Symbol"/>
            <w:sz w:val="24"/>
            <w:szCs w:val="24"/>
          </w:rPr>
          <w:id w:val="577411835"/>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ascii="宋体" w:hAnsi="宋体" w:eastAsia="宋体"/>
          <w:sz w:val="24"/>
          <w:szCs w:val="24"/>
        </w:rPr>
        <w:t xml:space="preserve"> </w:t>
      </w:r>
      <w:r>
        <w:rPr>
          <w:rFonts w:hint="eastAsia" w:ascii="宋体" w:hAnsi="宋体" w:eastAsia="宋体"/>
          <w:sz w:val="24"/>
          <w:szCs w:val="24"/>
        </w:rPr>
        <w:t xml:space="preserve">绝对保证等级 </w:t>
      </w:r>
      <w:r>
        <w:rPr>
          <w:rFonts w:ascii="宋体" w:hAnsi="宋体" w:eastAsia="宋体"/>
          <w:sz w:val="24"/>
          <w:szCs w:val="24"/>
        </w:rPr>
        <w:t xml:space="preserve">   </w:t>
      </w:r>
      <w:sdt>
        <w:sdtPr>
          <w:rPr>
            <w:rFonts w:ascii="MS Gothic" w:hAnsi="MS Gothic" w:eastAsia="MS Gothic" w:cs="Segoe UI Symbol"/>
            <w:sz w:val="24"/>
            <w:szCs w:val="24"/>
          </w:rPr>
          <w:id w:val="-1387333454"/>
          <w14:checkbox>
            <w14:checked w14:val="1"/>
            <w14:checkedState w14:val="0052" w14:font="Wingdings 2"/>
            <w14:uncheckedState w14:val="2610" w14:font="MS Gothic"/>
          </w14:checkbox>
        </w:sdtPr>
        <w:sdtEndPr>
          <w:rPr>
            <w:rFonts w:ascii="MS Gothic" w:hAnsi="MS Gothic" w:eastAsia="MS Gothic" w:cs="Segoe UI Symbol"/>
            <w:sz w:val="24"/>
            <w:szCs w:val="24"/>
          </w:rPr>
        </w:sdtEndPr>
        <w:sdtContent>
          <w:r>
            <w:rPr>
              <w:rFonts w:ascii="MS Gothic" w:hAnsi="MS Gothic" w:eastAsia="MS Gothic" w:cs="Segoe UI Symbol"/>
              <w:sz w:val="24"/>
              <w:szCs w:val="24"/>
            </w:rPr>
            <w:sym w:font="Wingdings 2" w:char="F052"/>
          </w:r>
        </w:sdtContent>
      </w:sdt>
      <w:r>
        <w:rPr>
          <w:rFonts w:ascii="宋体" w:hAnsi="宋体" w:eastAsia="宋体"/>
          <w:sz w:val="24"/>
          <w:szCs w:val="24"/>
        </w:rPr>
        <w:t xml:space="preserve"> </w:t>
      </w:r>
      <w:r>
        <w:rPr>
          <w:rFonts w:hint="eastAsia" w:ascii="宋体" w:hAnsi="宋体" w:eastAsia="宋体"/>
          <w:sz w:val="24"/>
          <w:szCs w:val="24"/>
        </w:rPr>
        <w:t xml:space="preserve">合理保证等级 </w:t>
      </w:r>
      <w:r>
        <w:rPr>
          <w:rFonts w:ascii="宋体" w:hAnsi="宋体" w:eastAsia="宋体"/>
          <w:sz w:val="24"/>
          <w:szCs w:val="24"/>
        </w:rPr>
        <w:t xml:space="preserve">   </w:t>
      </w:r>
      <w:sdt>
        <w:sdtPr>
          <w:rPr>
            <w:rFonts w:ascii="MS Gothic" w:hAnsi="MS Gothic" w:eastAsia="MS Gothic" w:cs="Segoe UI Symbol"/>
            <w:sz w:val="24"/>
            <w:szCs w:val="24"/>
          </w:rPr>
          <w:id w:val="1534925171"/>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ascii="宋体" w:hAnsi="宋体" w:eastAsia="宋体"/>
          <w:sz w:val="24"/>
          <w:szCs w:val="24"/>
        </w:rPr>
        <w:t xml:space="preserve"> </w:t>
      </w:r>
      <w:r>
        <w:rPr>
          <w:rFonts w:hint="eastAsia" w:ascii="宋体" w:hAnsi="宋体" w:eastAsia="宋体"/>
          <w:sz w:val="24"/>
          <w:szCs w:val="24"/>
        </w:rPr>
        <w:t>有限保证等级</w:t>
      </w:r>
    </w:p>
    <w:p w14:paraId="6B14043D">
      <w:pPr>
        <w:spacing w:line="360" w:lineRule="auto"/>
        <w:rPr>
          <w:rFonts w:ascii="宋体" w:hAnsi="宋体" w:eastAsia="宋体"/>
          <w:sz w:val="24"/>
          <w:szCs w:val="24"/>
        </w:rPr>
      </w:pPr>
      <w:r>
        <w:rPr>
          <w:rFonts w:hint="eastAsia" w:ascii="宋体" w:hAnsi="宋体" w:eastAsia="宋体"/>
          <w:sz w:val="24"/>
          <w:szCs w:val="24"/>
        </w:rPr>
        <w:t>实质性阈值：</w:t>
      </w:r>
      <w:r>
        <w:rPr>
          <w:rFonts w:ascii="宋体" w:hAnsi="宋体" w:eastAsia="宋体"/>
          <w:sz w:val="24"/>
          <w:szCs w:val="24"/>
        </w:rPr>
        <w:t xml:space="preserve"> </w:t>
      </w:r>
      <w:sdt>
        <w:sdtPr>
          <w:rPr>
            <w:rFonts w:ascii="MS Gothic" w:hAnsi="MS Gothic" w:eastAsia="MS Gothic" w:cs="Segoe UI Symbol"/>
            <w:sz w:val="24"/>
            <w:szCs w:val="24"/>
          </w:rPr>
          <w:id w:val="-2087064516"/>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ascii="MS Gothic" w:hAnsi="MS Gothic" w:eastAsia="MS Gothic" w:cs="Segoe UI Symbol"/>
              <w:kern w:val="2"/>
              <w:sz w:val="24"/>
              <w:szCs w:val="24"/>
              <w:lang w:val="en-US" w:eastAsia="zh-CN" w:bidi="ar-SA"/>
            </w:rPr>
            <w:t>☐</w:t>
          </w:r>
        </w:sdtContent>
      </w:sdt>
      <w:r>
        <w:rPr>
          <w:rFonts w:ascii="宋体" w:hAnsi="宋体" w:eastAsia="宋体"/>
          <w:sz w:val="24"/>
          <w:szCs w:val="24"/>
        </w:rPr>
        <w:t xml:space="preserve"> </w:t>
      </w:r>
      <w:r>
        <w:rPr>
          <w:rFonts w:hint="eastAsia" w:ascii="宋体" w:hAnsi="宋体" w:eastAsia="宋体"/>
          <w:sz w:val="24"/>
          <w:szCs w:val="24"/>
        </w:rPr>
        <w:t xml:space="preserve">5%  </w:t>
      </w:r>
      <w:sdt>
        <w:sdtPr>
          <w:rPr>
            <w:rFonts w:ascii="MS Gothic" w:hAnsi="MS Gothic" w:eastAsia="MS Gothic" w:cs="Segoe UI Symbol"/>
            <w:sz w:val="24"/>
            <w:szCs w:val="24"/>
          </w:rPr>
          <w:id w:val="819011705"/>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ascii="宋体" w:hAnsi="宋体" w:eastAsia="宋体"/>
          <w:sz w:val="24"/>
          <w:szCs w:val="24"/>
        </w:rPr>
        <w:t xml:space="preserve"> </w:t>
      </w: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 xml:space="preserve">%  </w:t>
      </w:r>
      <w:sdt>
        <w:sdtPr>
          <w:rPr>
            <w:rFonts w:ascii="MS Gothic" w:hAnsi="MS Gothic" w:eastAsia="MS Gothic" w:cs="Segoe UI Symbol"/>
            <w:sz w:val="24"/>
            <w:szCs w:val="24"/>
          </w:rPr>
          <w:id w:val="86279763"/>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ascii="宋体" w:hAnsi="宋体" w:eastAsia="宋体"/>
          <w:sz w:val="24"/>
          <w:szCs w:val="24"/>
        </w:rPr>
        <w:t xml:space="preserve"> </w:t>
      </w:r>
      <w:r>
        <w:rPr>
          <w:rFonts w:hint="eastAsia" w:ascii="宋体" w:hAnsi="宋体" w:eastAsia="宋体"/>
          <w:sz w:val="24"/>
          <w:szCs w:val="24"/>
        </w:rPr>
        <w:t xml:space="preserve">未提供  </w:t>
      </w:r>
      <w:sdt>
        <w:sdtPr>
          <w:rPr>
            <w:rFonts w:ascii="MS Gothic" w:hAnsi="MS Gothic" w:eastAsia="MS Gothic" w:cs="Segoe UI Symbol"/>
            <w:sz w:val="24"/>
            <w:szCs w:val="24"/>
          </w:rPr>
          <w:id w:val="2019193275"/>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hint="eastAsia" w:ascii="宋体" w:hAnsi="宋体" w:eastAsia="宋体"/>
          <w:sz w:val="24"/>
          <w:szCs w:val="24"/>
          <w:u w:val="single"/>
        </w:rPr>
        <w:t xml:space="preserve">                               </w:t>
      </w:r>
    </w:p>
    <w:p w14:paraId="1D09274E">
      <w:pPr>
        <w:spacing w:line="360" w:lineRule="auto"/>
        <w:rPr>
          <w:rFonts w:ascii="宋体" w:hAnsi="宋体" w:eastAsia="宋体"/>
          <w:sz w:val="24"/>
          <w:szCs w:val="24"/>
        </w:rPr>
      </w:pPr>
      <w:r>
        <w:rPr>
          <w:rFonts w:hint="eastAsia" w:ascii="宋体" w:hAnsi="宋体" w:eastAsia="宋体"/>
          <w:sz w:val="24"/>
          <w:szCs w:val="24"/>
        </w:rPr>
        <w:t>核查时长估算：现场访问</w:t>
      </w:r>
      <w:r>
        <w:rPr>
          <w:rFonts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ascii="宋体" w:hAnsi="宋体" w:eastAsia="宋体"/>
          <w:sz w:val="24"/>
          <w:szCs w:val="24"/>
          <w:u w:val="single"/>
        </w:rPr>
        <w:t xml:space="preserve">   </w:t>
      </w:r>
      <w:r>
        <w:rPr>
          <w:rFonts w:hint="eastAsia" w:ascii="宋体" w:hAnsi="宋体" w:eastAsia="宋体"/>
          <w:sz w:val="24"/>
          <w:szCs w:val="24"/>
        </w:rPr>
        <w:t>人日</w:t>
      </w:r>
    </w:p>
    <w:p w14:paraId="3D7B7539">
      <w:pPr>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七</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费用</w:t>
      </w:r>
    </w:p>
    <w:p w14:paraId="0000B028">
      <w:pPr>
        <w:spacing w:line="360" w:lineRule="auto"/>
        <w:ind w:firstLine="420" w:firstLineChars="200"/>
        <w:rPr>
          <w:rFonts w:ascii="Times New Roman" w:hAnsi="Times New Roman" w:eastAsia="宋体" w:cs="Times New Roman"/>
          <w:sz w:val="24"/>
          <w:szCs w:val="24"/>
        </w:rPr>
      </w:pPr>
      <w:r>
        <w:rPr>
          <w:rFonts w:ascii="Times New Roman" w:hAnsi="Times New Roman" w:eastAsia="Times New Roman" w:cs="Times New Roman"/>
          <w:szCs w:val="21"/>
        </w:rPr>
        <w:t xml:space="preserve">  </w:t>
      </w:r>
      <w:r>
        <w:rPr>
          <w:rFonts w:hint="eastAsia" w:ascii="Times New Roman" w:hAnsi="Times New Roman" w:eastAsia="宋体" w:cs="Times New Roman"/>
          <w:szCs w:val="21"/>
        </w:rPr>
        <w:t>1.</w:t>
      </w:r>
      <w:r>
        <w:rPr>
          <w:rFonts w:ascii="Times New Roman" w:hAnsi="Times New Roman" w:eastAsia="宋体" w:cs="Times New Roman"/>
          <w:sz w:val="24"/>
          <w:szCs w:val="24"/>
        </w:rPr>
        <w:t xml:space="preserve"> 甲方应向乙方交纳：</w:t>
      </w:r>
    </w:p>
    <w:p w14:paraId="181913AC">
      <w:pPr>
        <w:spacing w:line="360" w:lineRule="auto"/>
        <w:ind w:firstLine="480" w:firstLineChars="200"/>
        <w:rPr>
          <w:rFonts w:ascii="Times New Roman" w:hAnsi="Times New Roman" w:eastAsia="宋体" w:cs="Times New Roman"/>
          <w:sz w:val="24"/>
          <w:szCs w:val="24"/>
        </w:rPr>
      </w:pPr>
      <w:sdt>
        <w:sdtPr>
          <w:rPr>
            <w:rFonts w:ascii="Times New Roman" w:hAnsi="Times New Roman" w:eastAsia="宋体" w:cs="Times New Roman"/>
            <w:sz w:val="24"/>
            <w:szCs w:val="24"/>
          </w:rPr>
          <w:id w:val="-662086060"/>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MS Gothic" w:hAnsi="MS Gothic" w:eastAsia="宋体" w:cs="Times New Roman"/>
              <w:kern w:val="2"/>
              <w:sz w:val="24"/>
              <w:szCs w:val="24"/>
              <w:lang w:val="en-US" w:eastAsia="zh-CN" w:bidi="ar-SA"/>
            </w:rPr>
            <w:t>☐</w:t>
          </w:r>
        </w:sdtContent>
      </w:sdt>
      <w:r>
        <w:rPr>
          <w:rFonts w:ascii="Times New Roman" w:hAnsi="Times New Roman" w:eastAsia="宋体" w:cs="Times New Roman"/>
          <w:sz w:val="24"/>
          <w:szCs w:val="24"/>
        </w:rPr>
        <w:t xml:space="preserve">组织层次核查费：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元 </w:t>
      </w:r>
    </w:p>
    <w:p w14:paraId="2B71E6CF">
      <w:pPr>
        <w:spacing w:line="360" w:lineRule="auto"/>
        <w:ind w:firstLine="480" w:firstLineChars="200"/>
        <w:rPr>
          <w:rFonts w:ascii="Times New Roman" w:hAnsi="Times New Roman" w:eastAsia="宋体" w:cs="Times New Roman"/>
          <w:sz w:val="24"/>
          <w:szCs w:val="24"/>
        </w:rPr>
      </w:pPr>
      <w:sdt>
        <w:sdtPr>
          <w:rPr>
            <w:rFonts w:ascii="Times New Roman" w:hAnsi="Times New Roman" w:eastAsia="宋体" w:cs="Times New Roman"/>
            <w:sz w:val="24"/>
            <w:szCs w:val="24"/>
          </w:rPr>
          <w:id w:val="158965640"/>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rPr>
        <w:t xml:space="preserve">项目层次核查费：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元 </w:t>
      </w:r>
    </w:p>
    <w:p w14:paraId="72D9E757">
      <w:pPr>
        <w:spacing w:line="360" w:lineRule="auto"/>
        <w:ind w:firstLine="480" w:firstLineChars="200"/>
        <w:rPr>
          <w:rFonts w:ascii="Times New Roman" w:hAnsi="Times New Roman" w:eastAsia="宋体" w:cs="Times New Roman"/>
          <w:sz w:val="24"/>
          <w:szCs w:val="24"/>
        </w:rPr>
      </w:pPr>
      <w:sdt>
        <w:sdtPr>
          <w:rPr>
            <w:rFonts w:ascii="Times New Roman" w:hAnsi="Times New Roman" w:eastAsia="宋体" w:cs="Times New Roman"/>
            <w:sz w:val="24"/>
            <w:szCs w:val="24"/>
          </w:rPr>
          <w:id w:val="-1929656266"/>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hint="eastAsia" w:ascii="Times New Roman" w:hAnsi="Times New Roman" w:eastAsia="宋体" w:cs="Times New Roman"/>
          <w:sz w:val="24"/>
          <w:szCs w:val="24"/>
        </w:rPr>
        <w:t>产品碳足迹核查费</w:t>
      </w:r>
      <w:r>
        <w:rPr>
          <w:rFonts w:ascii="Times New Roman" w:hAnsi="Times New Roman" w:eastAsia="宋体" w:cs="Times New Roman"/>
          <w:sz w:val="24"/>
          <w:szCs w:val="24"/>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元 </w:t>
      </w:r>
    </w:p>
    <w:p w14:paraId="005CFA6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由于甲方的需要或原因，需增加现场访问时，增加的费用由甲方按 3000 元/人日，另行支付；</w:t>
      </w:r>
    </w:p>
    <w:p w14:paraId="2E17811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乙方核查员执行现场访问时所发生的交通及食宿费用：</w:t>
      </w:r>
    </w:p>
    <w:p w14:paraId="07A73159">
      <w:pPr>
        <w:spacing w:line="360" w:lineRule="auto"/>
        <w:ind w:firstLine="480" w:firstLineChars="200"/>
        <w:rPr>
          <w:rFonts w:ascii="Times New Roman" w:hAnsi="Times New Roman" w:eastAsia="宋体" w:cs="Times New Roman"/>
          <w:sz w:val="24"/>
          <w:szCs w:val="24"/>
        </w:rPr>
      </w:pPr>
      <w:sdt>
        <w:sdtPr>
          <w:rPr>
            <w:rFonts w:ascii="Times New Roman" w:hAnsi="Times New Roman" w:eastAsia="宋体" w:cs="Times New Roman"/>
            <w:sz w:val="24"/>
            <w:szCs w:val="24"/>
          </w:rPr>
          <w:id w:val="483134673"/>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元/人次由甲方支付；</w:t>
      </w:r>
      <w:sdt>
        <w:sdtPr>
          <w:rPr>
            <w:rFonts w:ascii="Times New Roman" w:hAnsi="Times New Roman" w:eastAsia="宋体" w:cs="Times New Roman"/>
            <w:sz w:val="24"/>
            <w:szCs w:val="24"/>
          </w:rPr>
          <w:id w:val="-301002461"/>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rPr>
        <w:t>交通及食宿费按实际发生额由甲方支付。</w:t>
      </w:r>
    </w:p>
    <w:p w14:paraId="5F531D4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全部费用甲方应在正式核查前支付给乙方。如有特殊问题，双方协商解决。</w:t>
      </w:r>
    </w:p>
    <w:p w14:paraId="1EEE969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5 其它： </w:t>
      </w:r>
      <w:r>
        <w:rPr>
          <w:rFonts w:ascii="Times New Roman" w:hAnsi="Times New Roman" w:eastAsia="宋体" w:cs="Times New Roman"/>
          <w:sz w:val="24"/>
          <w:szCs w:val="24"/>
          <w:u w:val="single"/>
        </w:rPr>
        <w:t xml:space="preserve">                                                                          </w:t>
      </w:r>
    </w:p>
    <w:p w14:paraId="33B0B215">
      <w:pPr>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八</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甲方责任和权利</w:t>
      </w:r>
    </w:p>
    <w:p w14:paraId="3131650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向乙方提供 《温室气体核查申请书》 及相关附件，并保证所提供资料的真实性和完整性。</w:t>
      </w:r>
    </w:p>
    <w:p w14:paraId="28EDE3C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确保乙方核查工作不受限制的接触任何与 GHG</w:t>
      </w:r>
      <w:r>
        <w:rPr>
          <w:rFonts w:ascii="Times New Roman" w:hAnsi="Times New Roman" w:eastAsia="宋体" w:cs="Times New Roman"/>
          <w:w w:val="101"/>
          <w:sz w:val="24"/>
          <w:szCs w:val="24"/>
        </w:rPr>
        <w:t xml:space="preserve"> </w:t>
      </w:r>
      <w:r>
        <w:rPr>
          <w:rFonts w:ascii="Times New Roman" w:hAnsi="Times New Roman" w:eastAsia="宋体" w:cs="Times New Roman"/>
          <w:sz w:val="24"/>
          <w:szCs w:val="24"/>
        </w:rPr>
        <w:t>核查有关的文件、记录和所需的其他信息，并确保甲方向乙方提供 GHG</w:t>
      </w:r>
      <w:r>
        <w:rPr>
          <w:rFonts w:ascii="Times New Roman" w:hAnsi="Times New Roman" w:eastAsia="宋体" w:cs="Times New Roman"/>
          <w:w w:val="101"/>
          <w:sz w:val="24"/>
          <w:szCs w:val="24"/>
        </w:rPr>
        <w:t xml:space="preserve"> </w:t>
      </w:r>
      <w:r>
        <w:rPr>
          <w:rFonts w:ascii="Times New Roman" w:hAnsi="Times New Roman" w:eastAsia="宋体" w:cs="Times New Roman"/>
          <w:sz w:val="24"/>
          <w:szCs w:val="24"/>
        </w:rPr>
        <w:t>核查有关的文件、记录、数据等是有效和完整的，是真实和客观的。</w:t>
      </w:r>
    </w:p>
    <w:p w14:paraId="16FC6B5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为乙方核查组进入相关区域、调阅文件记录、安排被访问人员等提供必要的条件。</w:t>
      </w:r>
    </w:p>
    <w:p w14:paraId="07621B3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按时向乙方交付本合同规定的费用。</w:t>
      </w:r>
    </w:p>
    <w:p w14:paraId="11EA1BA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5.接受乙方的认可机构等安排的见证评审等，并在核查中给予必要的配合。</w:t>
      </w:r>
    </w:p>
    <w:p w14:paraId="62CB8DBD">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6.甲方有权对乙方在核查服务过程中违规或损害公正性等行为提出诉讼或投诉。</w:t>
      </w:r>
    </w:p>
    <w:p w14:paraId="5749734B">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7.对核查涉及的信息应按照中国有关法规或规定予以妥善保管（注：信息保密管理）。</w:t>
      </w:r>
    </w:p>
    <w:p w14:paraId="1AE9DAC5">
      <w:pPr>
        <w:adjustRightInd w:val="0"/>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九</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乙方责任和权利</w:t>
      </w:r>
    </w:p>
    <w:p w14:paraId="1090F6C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乙方按时组织实施核查工作，并提前将核查计划提交甲方确认。</w:t>
      </w:r>
    </w:p>
    <w:p w14:paraId="17C13B4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乙方按相关规定配备核查组，并征得甲方同意。</w:t>
      </w:r>
    </w:p>
    <w:p w14:paraId="34A3B81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乙方按约定的准则，公正、客观、科学的实施核查活动，获取充分、适当的证据，为甲方提供的 </w:t>
      </w:r>
      <w:r>
        <w:rPr>
          <w:rFonts w:ascii="Times New Roman" w:hAnsi="Times New Roman" w:eastAsia="Times New Roman" w:cs="Times New Roman"/>
          <w:sz w:val="24"/>
          <w:szCs w:val="24"/>
        </w:rPr>
        <w:t>GHG</w:t>
      </w:r>
      <w:r>
        <w:rPr>
          <w:rFonts w:ascii="Times New Roman" w:hAnsi="Times New Roman" w:eastAsia="宋体" w:cs="Times New Roman"/>
          <w:sz w:val="24"/>
          <w:szCs w:val="24"/>
        </w:rPr>
        <w:t>陈述不存在重大的错误、遗漏</w:t>
      </w:r>
      <w:r>
        <w:rPr>
          <w:rFonts w:hint="eastAsia" w:ascii="Times New Roman" w:hAnsi="Times New Roman" w:eastAsia="宋体" w:cs="Times New Roman"/>
          <w:sz w:val="24"/>
          <w:szCs w:val="24"/>
        </w:rPr>
        <w:t>做出</w:t>
      </w:r>
      <w:r>
        <w:rPr>
          <w:rFonts w:ascii="Times New Roman" w:hAnsi="Times New Roman" w:eastAsia="宋体" w:cs="Times New Roman"/>
          <w:sz w:val="24"/>
          <w:szCs w:val="24"/>
        </w:rPr>
        <w:t>合理保证。</w:t>
      </w:r>
    </w:p>
    <w:p w14:paraId="65345F9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核查完毕且符合相关条件的，在甲方支付完毕相关费用后， 由乙方发放相应的核查陈述</w:t>
      </w:r>
      <w:r>
        <w:rPr>
          <w:rFonts w:hint="eastAsia" w:ascii="Times New Roman" w:hAnsi="Times New Roman" w:eastAsia="宋体" w:cs="Times New Roman"/>
          <w:sz w:val="24"/>
          <w:szCs w:val="24"/>
        </w:rPr>
        <w:t>（包括证书和/或报告）。</w:t>
      </w:r>
    </w:p>
    <w:p w14:paraId="2B9E645B">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乙方不得将甲方经营、生产、技术及管理状况以任何方式泄露给第三方，但甲方已公开的资料、</w:t>
      </w:r>
      <w:r>
        <w:rPr>
          <w:rFonts w:hint="eastAsia" w:ascii="Times New Roman" w:hAnsi="Times New Roman" w:eastAsia="宋体" w:cs="Times New Roman"/>
          <w:sz w:val="24"/>
          <w:szCs w:val="24"/>
        </w:rPr>
        <w:t>法律和/或国家主管部门要求的有关信息以及认可机构要求的有关信息除外。</w:t>
      </w:r>
    </w:p>
    <w:p w14:paraId="6E0E3B5E">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6.乙方</w:t>
      </w:r>
      <w:r>
        <w:rPr>
          <w:rFonts w:ascii="Times New Roman" w:hAnsi="Times New Roman" w:eastAsia="宋体" w:cs="Times New Roman"/>
          <w:sz w:val="24"/>
        </w:rPr>
        <w:t>应向潜在的客户或责任方告知其责任：</w:t>
      </w:r>
    </w:p>
    <w:p w14:paraId="3E3AB73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a)符合核查要求；</w:t>
      </w:r>
    </w:p>
    <w:p w14:paraId="092D03C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b)为核查的实施提供所有必要的安排，包括为审查文件和接触或进入所有相关的过程、区域、记录和人员提供条件；</w:t>
      </w:r>
    </w:p>
    <w:p w14:paraId="05D01C2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c)适用时，为观察员提供接待条件。</w:t>
      </w:r>
    </w:p>
    <w:p w14:paraId="256333BF">
      <w:pPr>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宋体" w:hAnsi="宋体" w:eastAsia="宋体" w:cs="宋体"/>
          <w:sz w:val="24"/>
          <w:szCs w:val="24"/>
        </w:rPr>
        <w:t>风险</w:t>
      </w:r>
    </w:p>
    <w:p w14:paraId="1823D678">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如果责任方的 GHG 陈述、 GHG</w:t>
      </w:r>
      <w:r>
        <w:rPr>
          <w:rFonts w:ascii="Times New Roman" w:hAnsi="Times New Roman" w:eastAsia="宋体" w:cs="Times New Roman"/>
          <w:w w:val="101"/>
          <w:sz w:val="24"/>
          <w:szCs w:val="24"/>
        </w:rPr>
        <w:t xml:space="preserve"> </w:t>
      </w:r>
      <w:r>
        <w:rPr>
          <w:rFonts w:ascii="Times New Roman" w:hAnsi="Times New Roman" w:eastAsia="宋体" w:cs="Times New Roman"/>
          <w:sz w:val="24"/>
          <w:szCs w:val="24"/>
        </w:rPr>
        <w:t>信息不符合约定的核查准则，或者责任方无法提供充足、</w:t>
      </w:r>
      <w:r>
        <w:rPr>
          <w:rFonts w:hint="eastAsia" w:ascii="Times New Roman" w:hAnsi="Times New Roman" w:eastAsia="宋体" w:cs="Times New Roman"/>
          <w:sz w:val="24"/>
          <w:szCs w:val="24"/>
        </w:rPr>
        <w:t>适当和客观的证据，将承担可能被签发否定意见或保留意见的陈述。</w:t>
      </w:r>
    </w:p>
    <w:p w14:paraId="51730AED">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乙方要承担因甲方获核查陈述后，</w:t>
      </w:r>
      <w:r>
        <w:rPr>
          <w:rFonts w:hint="eastAsia" w:ascii="Times New Roman" w:hAnsi="Times New Roman" w:eastAsia="宋体" w:cs="Times New Roman"/>
          <w:sz w:val="24"/>
          <w:szCs w:val="24"/>
        </w:rPr>
        <w:t>因其</w:t>
      </w:r>
      <w:r>
        <w:rPr>
          <w:rFonts w:ascii="Times New Roman" w:hAnsi="Times New Roman" w:eastAsia="宋体" w:cs="Times New Roman"/>
          <w:sz w:val="24"/>
          <w:szCs w:val="24"/>
        </w:rPr>
        <w:t>发生责任事故而引起甲方的顾客投诉，以致被国家认可</w:t>
      </w:r>
      <w:r>
        <w:rPr>
          <w:rFonts w:hint="eastAsia" w:ascii="Times New Roman" w:hAnsi="Times New Roman" w:eastAsia="宋体" w:cs="Times New Roman"/>
          <w:sz w:val="24"/>
          <w:szCs w:val="24"/>
        </w:rPr>
        <w:t>机构暂停、撤销认可/注册资格的风险。</w:t>
      </w:r>
    </w:p>
    <w:p w14:paraId="52259B82">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在核查过程中因乙方过失造成甲方的意外损失的索赔费将不超过本合同签订的</w:t>
      </w:r>
      <w:r>
        <w:rPr>
          <w:rFonts w:hint="eastAsia" w:ascii="Times New Roman" w:hAnsi="Times New Roman" w:eastAsia="宋体" w:cs="Times New Roman"/>
          <w:sz w:val="24"/>
          <w:szCs w:val="24"/>
        </w:rPr>
        <w:t>核查</w:t>
      </w:r>
      <w:r>
        <w:rPr>
          <w:rFonts w:ascii="Times New Roman" w:hAnsi="Times New Roman" w:eastAsia="宋体" w:cs="Times New Roman"/>
          <w:sz w:val="24"/>
          <w:szCs w:val="24"/>
        </w:rPr>
        <w:t>费用，</w:t>
      </w:r>
      <w:r>
        <w:rPr>
          <w:rFonts w:hint="eastAsia" w:ascii="Times New Roman" w:hAnsi="Times New Roman" w:eastAsia="宋体" w:cs="Times New Roman"/>
          <w:sz w:val="24"/>
          <w:szCs w:val="24"/>
        </w:rPr>
        <w:t>乙方也不承担随后的损失。</w:t>
      </w:r>
    </w:p>
    <w:p w14:paraId="69E07E2D">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甲方应承担因核查陈述误用或标志使用不当而引起的乙方损失。</w:t>
      </w:r>
    </w:p>
    <w:p w14:paraId="6BB60112">
      <w:pPr>
        <w:spacing w:line="360" w:lineRule="auto"/>
        <w:ind w:firstLine="480" w:firstLineChars="200"/>
        <w:jc w:val="left"/>
        <w:rPr>
          <w:rFonts w:ascii="宋体" w:hAnsi="宋体" w:eastAsia="宋体" w:cs="宋体"/>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由于任何一方原因，没有按照</w:t>
      </w:r>
      <w:r>
        <w:rPr>
          <w:rFonts w:hint="eastAsia" w:ascii="Times New Roman" w:hAnsi="Times New Roman" w:eastAsia="宋体" w:cs="Times New Roman"/>
          <w:sz w:val="24"/>
          <w:szCs w:val="24"/>
        </w:rPr>
        <w:t>双方</w:t>
      </w:r>
      <w:r>
        <w:rPr>
          <w:rFonts w:ascii="Times New Roman" w:hAnsi="Times New Roman" w:eastAsia="宋体" w:cs="Times New Roman"/>
          <w:sz w:val="24"/>
          <w:szCs w:val="24"/>
        </w:rPr>
        <w:t>约定的时间进行现场核查，应提前</w:t>
      </w:r>
      <w:r>
        <w:rPr>
          <w:rFonts w:hint="eastAsia" w:ascii="Times New Roman" w:hAnsi="Times New Roman" w:eastAsia="宋体" w:cs="Times New Roman"/>
          <w:sz w:val="24"/>
          <w:szCs w:val="24"/>
        </w:rPr>
        <w:t>3个工作日</w:t>
      </w:r>
      <w:r>
        <w:rPr>
          <w:rFonts w:ascii="Times New Roman" w:hAnsi="Times New Roman" w:eastAsia="宋体" w:cs="Times New Roman"/>
          <w:sz w:val="24"/>
          <w:szCs w:val="24"/>
        </w:rPr>
        <w:t>书面通知对方，</w:t>
      </w:r>
      <w:r>
        <w:rPr>
          <w:rFonts w:hint="eastAsia" w:ascii="Times New Roman" w:hAnsi="Times New Roman" w:eastAsia="宋体" w:cs="Times New Roman"/>
          <w:sz w:val="24"/>
          <w:szCs w:val="24"/>
        </w:rPr>
        <w:t>双方协商解决。</w:t>
      </w:r>
    </w:p>
    <w:p w14:paraId="7CC9DF9A">
      <w:pPr>
        <w:tabs>
          <w:tab w:val="left" w:pos="0"/>
        </w:tabs>
        <w:adjustRightInd w:val="0"/>
        <w:spacing w:line="360" w:lineRule="auto"/>
        <w:ind w:firstLine="482"/>
        <w:rPr>
          <w:rFonts w:ascii="Times New Roman" w:hAnsi="Times New Roman" w:eastAsia="宋体" w:cs="Times New Roman"/>
          <w:sz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十一</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rPr>
        <w:t>获得 GHG核查陈述的甲方有权使用陈述和标志证明组织或项目的 GHG 陈述符合了特定的 GHG核查标准或 GHG 方案，并将细节通知相关方和/或潜在的顾客；也可在宣传材料上展示 GHG核查陈述和标志，但只能就获准的范围进行宣传，不能用于暗示委托方或责任方的管理/产品/服务或特定过程得到了</w:t>
      </w:r>
      <w:r>
        <w:rPr>
          <w:rFonts w:hint="eastAsia" w:ascii="Times New Roman" w:hAnsi="Times New Roman" w:eastAsia="宋体" w:cs="Times New Roman"/>
          <w:sz w:val="24"/>
        </w:rPr>
        <w:t>乙方</w:t>
      </w:r>
      <w:r>
        <w:rPr>
          <w:rFonts w:ascii="Times New Roman" w:hAnsi="Times New Roman" w:eastAsia="宋体" w:cs="Times New Roman"/>
          <w:sz w:val="24"/>
        </w:rPr>
        <w:t>的批准，不得损害</w:t>
      </w:r>
      <w:r>
        <w:rPr>
          <w:rFonts w:hint="eastAsia" w:ascii="Times New Roman" w:hAnsi="Times New Roman" w:eastAsia="宋体" w:cs="Times New Roman"/>
          <w:sz w:val="24"/>
        </w:rPr>
        <w:t>乙方</w:t>
      </w:r>
      <w:r>
        <w:rPr>
          <w:rFonts w:ascii="Times New Roman" w:hAnsi="Times New Roman" w:eastAsia="宋体" w:cs="Times New Roman"/>
          <w:sz w:val="24"/>
        </w:rPr>
        <w:t>的声誉，不得做</w:t>
      </w:r>
      <w:r>
        <w:rPr>
          <w:rFonts w:hint="eastAsia" w:ascii="Times New Roman" w:hAnsi="Times New Roman" w:eastAsia="宋体" w:cs="Times New Roman"/>
          <w:sz w:val="24"/>
        </w:rPr>
        <w:t>乙方</w:t>
      </w:r>
      <w:r>
        <w:rPr>
          <w:rFonts w:ascii="Times New Roman" w:hAnsi="Times New Roman" w:eastAsia="宋体" w:cs="Times New Roman"/>
          <w:sz w:val="24"/>
        </w:rPr>
        <w:t>认为误导或未授权的陈述。</w:t>
      </w:r>
    </w:p>
    <w:p w14:paraId="406A99AF">
      <w:pPr>
        <w:tabs>
          <w:tab w:val="left" w:pos="0"/>
        </w:tabs>
        <w:adjustRightInd w:val="0"/>
        <w:spacing w:line="360" w:lineRule="auto"/>
        <w:ind w:firstLine="482"/>
        <w:rPr>
          <w:rFonts w:ascii="Times New Roman" w:hAnsi="Times New Roman" w:eastAsia="宋体" w:cs="Times New Roman"/>
          <w:sz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十二</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rPr>
        <w:t>乙方GHG核查陈述中可能会附有</w:t>
      </w:r>
      <w:r>
        <w:rPr>
          <w:rFonts w:hint="eastAsia" w:ascii="宋体" w:hAnsi="宋体" w:eastAsia="宋体" w:cs="Times New Roman"/>
          <w:color w:val="000000"/>
          <w:sz w:val="24"/>
          <w:szCs w:val="24"/>
        </w:rPr>
        <w:t>I</w:t>
      </w:r>
      <w:r>
        <w:rPr>
          <w:rFonts w:ascii="宋体" w:hAnsi="宋体" w:eastAsia="宋体" w:cs="Times New Roman"/>
          <w:color w:val="000000"/>
          <w:sz w:val="24"/>
          <w:szCs w:val="24"/>
        </w:rPr>
        <w:t>AF-MLA/CNAS</w:t>
      </w:r>
      <w:r>
        <w:rPr>
          <w:rFonts w:hint="eastAsia" w:ascii="宋体" w:hAnsi="宋体" w:eastAsia="宋体" w:cs="Times New Roman"/>
          <w:color w:val="000000"/>
          <w:sz w:val="24"/>
          <w:szCs w:val="24"/>
        </w:rPr>
        <w:t>联合标识</w:t>
      </w:r>
      <w:r>
        <w:rPr>
          <w:rFonts w:ascii="Times New Roman" w:hAnsi="Times New Roman" w:eastAsia="宋体" w:cs="Times New Roman"/>
          <w:sz w:val="24"/>
        </w:rPr>
        <w:t>，当</w:t>
      </w:r>
      <w:r>
        <w:rPr>
          <w:rFonts w:hint="eastAsia" w:ascii="Times New Roman" w:hAnsi="Times New Roman" w:eastAsia="宋体" w:cs="Times New Roman"/>
          <w:sz w:val="24"/>
        </w:rPr>
        <w:t>甲方引用乙方出具的核查陈述，可以在使用乙方标志的同时，使用</w:t>
      </w:r>
      <w:r>
        <w:rPr>
          <w:rFonts w:hint="eastAsia" w:ascii="宋体" w:hAnsi="宋体" w:eastAsia="宋体" w:cs="Times New Roman"/>
          <w:color w:val="000000"/>
          <w:sz w:val="24"/>
          <w:szCs w:val="24"/>
        </w:rPr>
        <w:t>I</w:t>
      </w:r>
      <w:r>
        <w:rPr>
          <w:rFonts w:ascii="宋体" w:hAnsi="宋体" w:eastAsia="宋体" w:cs="Times New Roman"/>
          <w:color w:val="000000"/>
          <w:sz w:val="24"/>
          <w:szCs w:val="24"/>
        </w:rPr>
        <w:t>AF-MLA/CNAS</w:t>
      </w:r>
      <w:r>
        <w:rPr>
          <w:rFonts w:hint="eastAsia" w:ascii="宋体" w:hAnsi="宋体" w:eastAsia="宋体" w:cs="Times New Roman"/>
          <w:color w:val="000000"/>
          <w:sz w:val="24"/>
          <w:szCs w:val="24"/>
        </w:rPr>
        <w:t>联合标识，但必须I</w:t>
      </w:r>
      <w:r>
        <w:rPr>
          <w:rFonts w:ascii="宋体" w:hAnsi="宋体" w:eastAsia="宋体" w:cs="Times New Roman"/>
          <w:color w:val="000000"/>
          <w:sz w:val="24"/>
          <w:szCs w:val="24"/>
        </w:rPr>
        <w:t>AF-MLA/CNAS</w:t>
      </w:r>
      <w:r>
        <w:rPr>
          <w:rFonts w:hint="eastAsia" w:ascii="宋体" w:hAnsi="宋体" w:eastAsia="宋体" w:cs="Times New Roman"/>
          <w:color w:val="000000"/>
          <w:sz w:val="24"/>
          <w:szCs w:val="24"/>
        </w:rPr>
        <w:t>联合标识和</w:t>
      </w:r>
      <w:r>
        <w:rPr>
          <w:rFonts w:hint="eastAsia" w:ascii="Times New Roman" w:hAnsi="Times New Roman" w:eastAsia="宋体" w:cs="Times New Roman"/>
          <w:sz w:val="24"/>
        </w:rPr>
        <w:t>乙方</w:t>
      </w:r>
      <w:r>
        <w:rPr>
          <w:rFonts w:hint="eastAsia" w:ascii="宋体" w:hAnsi="宋体" w:eastAsia="宋体" w:cs="Times New Roman"/>
          <w:color w:val="000000"/>
          <w:sz w:val="24"/>
          <w:szCs w:val="24"/>
        </w:rPr>
        <w:t>标志同时使用，不得单独使用。</w:t>
      </w:r>
    </w:p>
    <w:p w14:paraId="60CC23C0">
      <w:pPr>
        <w:tabs>
          <w:tab w:val="left" w:pos="0"/>
        </w:tabs>
        <w:adjustRightInd w:val="0"/>
        <w:spacing w:line="360" w:lineRule="auto"/>
        <w:ind w:firstLine="482"/>
        <w:rPr>
          <w:rFonts w:ascii="Times New Roman" w:hAnsi="Times New Roman" w:eastAsia="宋体" w:cs="Times New Roman"/>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十三</w:t>
      </w:r>
      <w:r>
        <w:rPr>
          <w:rFonts w:ascii="Times New Roman" w:hAnsi="Times New Roman" w:eastAsia="宋体" w:cs="Times New Roman"/>
          <w:b/>
          <w:bCs/>
          <w:sz w:val="24"/>
          <w:szCs w:val="24"/>
        </w:rPr>
        <w:t>条</w:t>
      </w:r>
      <w:r>
        <w:rPr>
          <w:rFonts w:ascii="Times New Roman" w:hAnsi="Times New Roman" w:eastAsia="宋体" w:cs="Times New Roman"/>
          <w:sz w:val="24"/>
          <w:szCs w:val="24"/>
        </w:rPr>
        <w:t>GHG 核查陈述（包括证书和/或报告）使用时，应完整引用，不得以误导性方式使用 GHG 核查陈述文件或其任何部分。</w:t>
      </w:r>
    </w:p>
    <w:p w14:paraId="0168C62B">
      <w:pPr>
        <w:tabs>
          <w:tab w:val="left" w:pos="0"/>
        </w:tabs>
        <w:adjustRightInd w:val="0"/>
        <w:spacing w:line="360" w:lineRule="auto"/>
        <w:ind w:firstLine="482"/>
        <w:rPr>
          <w:rFonts w:ascii="Times New Roman" w:hAnsi="Times New Roman" w:eastAsia="宋体" w:cs="Times New Roman"/>
          <w:sz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十四</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如果甲方需要宣传其生产每单位产品的排放量（产生的排放或减少的排放）或类似数据的陈述，应同时说明其来源，包括：GHG 核查陈述的日期、该陈述是否基于历史数据。如果 GHG核查陈述中关于产品和相关标志的特定数据和信息而对该陈述有任何限制，也应同时予以说明。</w:t>
      </w:r>
    </w:p>
    <w:p w14:paraId="639C0A43">
      <w:pPr>
        <w:tabs>
          <w:tab w:val="left" w:pos="0"/>
        </w:tabs>
        <w:adjustRightInd w:val="0"/>
        <w:spacing w:line="360" w:lineRule="auto"/>
        <w:ind w:firstLine="482"/>
        <w:rPr>
          <w:rFonts w:ascii="Times New Roman" w:hAnsi="Times New Roman" w:eastAsia="宋体" w:cs="Times New Roman"/>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十五</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GHG核查标志或摘自GHG核查陈述的陈述，不得用在产品上，或作为产品的合格证明，或用在消费者可见到的产品包装上，或以其它任何可能被解释为产品认证的方式使用。标志或所附文字不应使人对核查对象和授予核查陈述的机构产生歧义。</w:t>
      </w:r>
    </w:p>
    <w:p w14:paraId="1120613B">
      <w:pPr>
        <w:tabs>
          <w:tab w:val="left" w:pos="0"/>
        </w:tabs>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十六</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在合同履行过程中，若非乙方的原因，合同在完成前被终止，则乙方不出具意见，且不承担任何责任，但甲方仍应承担乙方已完成工作量的费用。若因乙方原因终止合同，则乙方退还甲方全部已支付费用。双方因不可抗力造成的合同延迟或失败，免除赔偿责任，包括但不限于战争、天灾等，受到影响的一方应立即书面通知另一方。</w:t>
      </w:r>
    </w:p>
    <w:p w14:paraId="2DF7818F">
      <w:pPr>
        <w:tabs>
          <w:tab w:val="left" w:pos="420"/>
        </w:tabs>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十七</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在合同履行过程中发生争议时，双方应首先协商解决。</w:t>
      </w:r>
    </w:p>
    <w:p w14:paraId="3FA0C57E">
      <w:pPr>
        <w:tabs>
          <w:tab w:val="left" w:pos="420"/>
        </w:tabs>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十八</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不能协商解决的争议申请由仲裁委员会仲裁，按司法程序解决。</w:t>
      </w:r>
    </w:p>
    <w:p w14:paraId="42583BA1">
      <w:pPr>
        <w:tabs>
          <w:tab w:val="left" w:pos="420"/>
        </w:tabs>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十九</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如果在核查陈述签发后</w:t>
      </w:r>
      <w:r>
        <w:rPr>
          <w:rFonts w:hint="eastAsia" w:ascii="Times New Roman" w:hAnsi="Times New Roman" w:eastAsia="宋体" w:cs="Times New Roman"/>
          <w:sz w:val="24"/>
          <w:szCs w:val="24"/>
          <w:lang w:val="en-US" w:eastAsia="zh-CN"/>
        </w:rPr>
        <w:t>/出具核查意见时</w:t>
      </w:r>
      <w:r>
        <w:rPr>
          <w:rFonts w:hint="eastAsia" w:ascii="Times New Roman" w:hAnsi="Times New Roman" w:eastAsia="宋体" w:cs="Times New Roman"/>
          <w:sz w:val="24"/>
          <w:szCs w:val="24"/>
        </w:rPr>
        <w:t>发现了影响核查陈述</w:t>
      </w:r>
      <w:r>
        <w:rPr>
          <w:rFonts w:hint="eastAsia" w:ascii="Times New Roman" w:hAnsi="Times New Roman" w:eastAsia="宋体" w:cs="Times New Roman"/>
          <w:sz w:val="24"/>
          <w:szCs w:val="24"/>
          <w:lang w:val="en-US" w:eastAsia="zh-CN"/>
        </w:rPr>
        <w:t>/核查意见</w:t>
      </w:r>
      <w:r>
        <w:rPr>
          <w:rFonts w:hint="eastAsia" w:ascii="Times New Roman" w:hAnsi="Times New Roman" w:eastAsia="宋体" w:cs="Times New Roman"/>
          <w:sz w:val="24"/>
          <w:szCs w:val="24"/>
        </w:rPr>
        <w:t>的新事实或信息，包括但不限于来自甲方、乙方和任何其他第三方</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甲方应予以配合</w:t>
      </w:r>
      <w:r>
        <w:rPr>
          <w:rFonts w:hint="eastAsia" w:ascii="Times New Roman" w:hAnsi="Times New Roman" w:eastAsia="宋体" w:cs="Times New Roman"/>
          <w:sz w:val="24"/>
          <w:szCs w:val="24"/>
        </w:rPr>
        <w:t>。乙方将采取适宜的行动，包括尽早与甲方（委托方、受核查方）和GHG方案方沟通此事，对核查陈述</w:t>
      </w:r>
      <w:r>
        <w:rPr>
          <w:rFonts w:hint="eastAsia" w:ascii="Times New Roman" w:hAnsi="Times New Roman" w:eastAsia="宋体" w:cs="Times New Roman"/>
          <w:sz w:val="24"/>
          <w:szCs w:val="24"/>
          <w:lang w:val="en-US" w:eastAsia="zh-CN"/>
        </w:rPr>
        <w:t>/核查意见</w:t>
      </w:r>
      <w:r>
        <w:rPr>
          <w:rFonts w:hint="eastAsia" w:ascii="Times New Roman" w:hAnsi="Times New Roman" w:eastAsia="宋体" w:cs="Times New Roman"/>
          <w:sz w:val="24"/>
          <w:szCs w:val="24"/>
        </w:rPr>
        <w:t>进行变更或撤销等。根据相关方所依赖的原始意见对核查陈述</w:t>
      </w:r>
      <w:r>
        <w:rPr>
          <w:rFonts w:hint="eastAsia" w:ascii="Times New Roman" w:hAnsi="Times New Roman" w:eastAsia="宋体" w:cs="Times New Roman"/>
          <w:sz w:val="24"/>
          <w:szCs w:val="24"/>
          <w:lang w:val="en-US" w:eastAsia="zh-CN"/>
        </w:rPr>
        <w:t>/核查意见</w:t>
      </w:r>
      <w:r>
        <w:rPr>
          <w:rFonts w:hint="eastAsia" w:ascii="Times New Roman" w:hAnsi="Times New Roman" w:eastAsia="宋体" w:cs="Times New Roman"/>
          <w:sz w:val="24"/>
          <w:szCs w:val="24"/>
        </w:rPr>
        <w:t>进行调整。由此产生的费用由双方协商决定。</w:t>
      </w:r>
    </w:p>
    <w:p w14:paraId="77F506C1">
      <w:pPr>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二十</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本合同一式2份，甲乙双方各执一份，自签字之日起生效，两年后仍未执行本合同则自动作废。</w:t>
      </w:r>
    </w:p>
    <w:p w14:paraId="0C1F586F">
      <w:pPr>
        <w:adjustRightInd w:val="0"/>
        <w:spacing w:line="360" w:lineRule="auto"/>
        <w:ind w:firstLine="482"/>
        <w:rPr>
          <w:rFonts w:ascii="宋体" w:hAnsi="宋体" w:eastAsia="宋体" w:cs="宋体"/>
          <w:sz w:val="24"/>
          <w:szCs w:val="24"/>
        </w:rPr>
      </w:pPr>
      <w:r>
        <w:rPr>
          <w:rFonts w:ascii="宋体" w:hAnsi="宋体" w:eastAsia="宋体" w:cs="宋体"/>
          <w:b/>
          <w:bCs/>
          <w:sz w:val="24"/>
          <w:szCs w:val="24"/>
        </w:rPr>
        <w:t>第二十一条</w:t>
      </w:r>
      <w:r>
        <w:rPr>
          <w:rFonts w:ascii="宋体" w:hAnsi="宋体" w:eastAsia="宋体" w:cs="宋体"/>
          <w:sz w:val="24"/>
          <w:szCs w:val="24"/>
        </w:rPr>
        <w:t xml:space="preserve"> 本合同未尽事宜，双方同意通过合同附件予以规定，合同附件与合同</w:t>
      </w:r>
      <w:r>
        <w:rPr>
          <w:rFonts w:hint="eastAsia" w:ascii="宋体" w:hAnsi="宋体" w:eastAsia="宋体" w:cs="宋体"/>
          <w:sz w:val="24"/>
          <w:szCs w:val="24"/>
        </w:rPr>
        <w:t>具有</w:t>
      </w:r>
      <w:r>
        <w:rPr>
          <w:rFonts w:ascii="宋体" w:hAnsi="宋体" w:eastAsia="宋体" w:cs="宋体"/>
          <w:sz w:val="24"/>
          <w:szCs w:val="24"/>
        </w:rPr>
        <w:t>同等效力。</w:t>
      </w:r>
    </w:p>
    <w:p w14:paraId="4D1FF6EA"/>
    <w:p w14:paraId="2C506E46"/>
    <w:p w14:paraId="69EF33B6"/>
    <w:p w14:paraId="14C73897"/>
    <w:p w14:paraId="06E816A0"/>
    <w:p w14:paraId="61ADEE74"/>
    <w:p w14:paraId="42A8D0CA"/>
    <w:p w14:paraId="13EA5A5E"/>
    <w:p w14:paraId="19879DA6"/>
    <w:p w14:paraId="56C2BBA7"/>
    <w:p w14:paraId="4B73133D"/>
    <w:p w14:paraId="2BA972FA"/>
    <w:p w14:paraId="2C6E10DA"/>
    <w:p w14:paraId="32A4330E"/>
    <w:p w14:paraId="65EC933F"/>
    <w:p w14:paraId="55C4EDAF"/>
    <w:p w14:paraId="68B3C458"/>
    <w:p w14:paraId="6104431D">
      <w:pPr>
        <w:rPr>
          <w:rFonts w:hint="eastAsia"/>
        </w:rPr>
      </w:pPr>
    </w:p>
    <w:p w14:paraId="22025824"/>
    <w:p w14:paraId="12D13BFC"/>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4316"/>
      </w:tblGrid>
      <w:tr w14:paraId="7DEB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980" w:type="dxa"/>
            <w:shd w:val="clear" w:color="auto" w:fill="auto"/>
            <w:vAlign w:val="center"/>
          </w:tcPr>
          <w:p w14:paraId="51E71AC7">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委托方（甲方）：               </w:t>
            </w:r>
          </w:p>
        </w:tc>
        <w:tc>
          <w:tcPr>
            <w:tcW w:w="4316" w:type="dxa"/>
            <w:shd w:val="clear" w:color="auto" w:fill="auto"/>
            <w:vAlign w:val="center"/>
          </w:tcPr>
          <w:p w14:paraId="2E174D4C">
            <w:pPr>
              <w:spacing w:line="440" w:lineRule="exact"/>
              <w:rPr>
                <w:rFonts w:ascii="Times New Roman" w:hAnsi="Times New Roman" w:eastAsia="宋体" w:cs="Times New Roman"/>
                <w:sz w:val="24"/>
                <w:szCs w:val="24"/>
              </w:rPr>
            </w:pPr>
            <w:r>
              <w:rPr>
                <w:rFonts w:hint="eastAsia" w:ascii="Times New Roman" w:hAnsi="Times New Roman" w:eastAsia="宋体" w:cs="Times New Roman"/>
                <w:bCs/>
                <w:sz w:val="24"/>
                <w:szCs w:val="24"/>
              </w:rPr>
              <w:t>受托</w:t>
            </w:r>
            <w:r>
              <w:rPr>
                <w:rFonts w:ascii="Times New Roman" w:hAnsi="Times New Roman" w:eastAsia="宋体" w:cs="Times New Roman"/>
                <w:bCs/>
                <w:sz w:val="24"/>
                <w:szCs w:val="24"/>
              </w:rPr>
              <w:t>方（乙方）</w:t>
            </w:r>
            <w:r>
              <w:rPr>
                <w:rFonts w:ascii="Times New Roman" w:hAnsi="Times New Roman" w:eastAsia="宋体" w:cs="Times New Roman"/>
                <w:sz w:val="24"/>
                <w:szCs w:val="24"/>
              </w:rPr>
              <w:t>：</w:t>
            </w:r>
          </w:p>
          <w:p w14:paraId="2E4E0883">
            <w:pPr>
              <w:spacing w:line="440" w:lineRule="exact"/>
              <w:rPr>
                <w:rFonts w:ascii="Times New Roman" w:hAnsi="Times New Roman" w:eastAsia="宋体" w:cs="Times New Roman"/>
                <w:sz w:val="24"/>
              </w:rPr>
            </w:pPr>
            <w:r>
              <w:rPr>
                <w:rFonts w:ascii="Times New Roman" w:hAnsi="Times New Roman" w:eastAsia="宋体" w:cs="Times New Roman"/>
                <w:sz w:val="24"/>
                <w:szCs w:val="24"/>
              </w:rPr>
              <w:t>北京新纪源认证有限公司</w:t>
            </w:r>
          </w:p>
        </w:tc>
      </w:tr>
      <w:tr w14:paraId="10B9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tcPr>
          <w:p w14:paraId="6B83C7DD">
            <w:pPr>
              <w:spacing w:line="440" w:lineRule="exact"/>
              <w:ind w:firstLine="120" w:firstLineChars="50"/>
              <w:rPr>
                <w:rFonts w:ascii="Times New Roman" w:hAnsi="Times New Roman" w:eastAsia="宋体" w:cs="Times New Roman"/>
                <w:sz w:val="24"/>
              </w:rPr>
            </w:pPr>
            <w:r>
              <w:rPr>
                <w:rFonts w:ascii="Times New Roman" w:hAnsi="Times New Roman" w:eastAsia="宋体" w:cs="Times New Roman"/>
                <w:sz w:val="24"/>
              </w:rPr>
              <w:t>委托方（甲方）：</w:t>
            </w:r>
          </w:p>
        </w:tc>
        <w:tc>
          <w:tcPr>
            <w:tcW w:w="4316" w:type="dxa"/>
            <w:shd w:val="clear" w:color="auto" w:fill="auto"/>
          </w:tcPr>
          <w:p w14:paraId="0BE18D13">
            <w:pPr>
              <w:spacing w:line="440" w:lineRule="exact"/>
              <w:rPr>
                <w:rFonts w:ascii="Times New Roman" w:hAnsi="Times New Roman" w:eastAsia="宋体" w:cs="Times New Roman"/>
                <w:sz w:val="24"/>
              </w:rPr>
            </w:pPr>
            <w:r>
              <w:rPr>
                <w:rFonts w:ascii="Times New Roman" w:hAnsi="Times New Roman" w:eastAsia="宋体" w:cs="Times New Roman"/>
                <w:sz w:val="24"/>
              </w:rPr>
              <w:t>受托方（乙方）：</w:t>
            </w:r>
          </w:p>
          <w:p w14:paraId="7229DE49">
            <w:pPr>
              <w:spacing w:line="440" w:lineRule="exact"/>
              <w:rPr>
                <w:rFonts w:ascii="Times New Roman" w:hAnsi="Times New Roman" w:eastAsia="宋体" w:cs="Times New Roman"/>
                <w:sz w:val="24"/>
              </w:rPr>
            </w:pPr>
            <w:r>
              <w:rPr>
                <w:rFonts w:ascii="Times New Roman" w:hAnsi="Times New Roman" w:eastAsia="宋体" w:cs="Times New Roman"/>
                <w:sz w:val="24"/>
              </w:rPr>
              <w:t>北京新纪源认证有限公司</w:t>
            </w:r>
          </w:p>
        </w:tc>
      </w:tr>
      <w:tr w14:paraId="1CE1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tcPr>
          <w:p w14:paraId="75588635">
            <w:pPr>
              <w:spacing w:line="440" w:lineRule="exact"/>
              <w:ind w:firstLine="120" w:firstLineChars="50"/>
              <w:rPr>
                <w:rFonts w:ascii="Times New Roman" w:hAnsi="Times New Roman" w:eastAsia="宋体" w:cs="Times New Roman"/>
                <w:sz w:val="24"/>
              </w:rPr>
            </w:pPr>
            <w:r>
              <w:rPr>
                <w:rFonts w:ascii="Times New Roman" w:hAnsi="Times New Roman" w:eastAsia="宋体" w:cs="Times New Roman"/>
                <w:sz w:val="24"/>
              </w:rPr>
              <w:t>（盖章）</w:t>
            </w:r>
          </w:p>
        </w:tc>
        <w:tc>
          <w:tcPr>
            <w:tcW w:w="4316" w:type="dxa"/>
            <w:shd w:val="clear" w:color="auto" w:fill="auto"/>
          </w:tcPr>
          <w:p w14:paraId="6AD20DDE">
            <w:pPr>
              <w:spacing w:line="440" w:lineRule="exact"/>
              <w:rPr>
                <w:rFonts w:ascii="Times New Roman" w:hAnsi="Times New Roman" w:eastAsia="宋体" w:cs="Times New Roman"/>
                <w:sz w:val="24"/>
              </w:rPr>
            </w:pPr>
            <w:r>
              <w:rPr>
                <w:rFonts w:ascii="Times New Roman" w:hAnsi="Times New Roman" w:eastAsia="宋体" w:cs="Times New Roman"/>
                <w:sz w:val="24"/>
              </w:rPr>
              <w:t>（盖章）</w:t>
            </w:r>
          </w:p>
        </w:tc>
      </w:tr>
      <w:tr w14:paraId="138A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403BF398">
            <w:pPr>
              <w:spacing w:line="440" w:lineRule="exact"/>
              <w:rPr>
                <w:rFonts w:ascii="Times New Roman" w:hAnsi="Times New Roman" w:eastAsia="宋体" w:cs="Times New Roman"/>
                <w:sz w:val="24"/>
              </w:rPr>
            </w:pPr>
            <w:r>
              <w:rPr>
                <w:rFonts w:ascii="Times New Roman" w:hAnsi="Times New Roman" w:eastAsia="宋体" w:cs="Times New Roman"/>
                <w:sz w:val="24"/>
              </w:rPr>
              <w:t>委托代表人：</w:t>
            </w:r>
          </w:p>
        </w:tc>
        <w:tc>
          <w:tcPr>
            <w:tcW w:w="4316" w:type="dxa"/>
            <w:shd w:val="clear" w:color="auto" w:fill="auto"/>
            <w:vAlign w:val="center"/>
          </w:tcPr>
          <w:p w14:paraId="7B9D99E2">
            <w:pPr>
              <w:spacing w:line="440" w:lineRule="exact"/>
              <w:rPr>
                <w:rFonts w:ascii="Times New Roman" w:hAnsi="Times New Roman" w:eastAsia="宋体" w:cs="Times New Roman"/>
                <w:sz w:val="24"/>
              </w:rPr>
            </w:pPr>
            <w:r>
              <w:rPr>
                <w:rFonts w:ascii="Times New Roman" w:hAnsi="Times New Roman" w:eastAsia="宋体" w:cs="Times New Roman"/>
                <w:sz w:val="24"/>
              </w:rPr>
              <w:t>委托代表人：</w:t>
            </w:r>
          </w:p>
        </w:tc>
      </w:tr>
      <w:tr w14:paraId="57F3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62388BD7">
            <w:pPr>
              <w:wordWrap w:val="0"/>
              <w:spacing w:line="440" w:lineRule="exact"/>
              <w:ind w:right="360"/>
              <w:jc w:val="right"/>
              <w:rPr>
                <w:rFonts w:ascii="Times New Roman" w:hAnsi="Times New Roman" w:eastAsia="宋体" w:cs="Times New Roman"/>
                <w:sz w:val="24"/>
              </w:rPr>
            </w:pPr>
            <w:r>
              <w:rPr>
                <w:rFonts w:ascii="Times New Roman" w:hAnsi="Times New Roman" w:eastAsia="宋体" w:cs="Times New Roman"/>
                <w:sz w:val="24"/>
              </w:rPr>
              <w:t xml:space="preserve">    年    月    日</w:t>
            </w:r>
          </w:p>
        </w:tc>
        <w:tc>
          <w:tcPr>
            <w:tcW w:w="4316" w:type="dxa"/>
            <w:shd w:val="clear" w:color="auto" w:fill="auto"/>
            <w:vAlign w:val="center"/>
          </w:tcPr>
          <w:p w14:paraId="59C7F319">
            <w:pPr>
              <w:wordWrap w:val="0"/>
              <w:spacing w:line="440" w:lineRule="exact"/>
              <w:ind w:right="240"/>
              <w:jc w:val="right"/>
              <w:rPr>
                <w:rFonts w:ascii="Times New Roman" w:hAnsi="Times New Roman" w:eastAsia="宋体" w:cs="Times New Roman"/>
                <w:sz w:val="24"/>
              </w:rPr>
            </w:pPr>
            <w:r>
              <w:rPr>
                <w:rFonts w:ascii="Times New Roman" w:hAnsi="Times New Roman" w:eastAsia="宋体" w:cs="Times New Roman"/>
                <w:sz w:val="24"/>
              </w:rPr>
              <w:t xml:space="preserve">    年    月    日</w:t>
            </w:r>
          </w:p>
        </w:tc>
      </w:tr>
      <w:tr w14:paraId="2552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31854CB3">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联 系 人：          </w:t>
            </w:r>
          </w:p>
        </w:tc>
        <w:tc>
          <w:tcPr>
            <w:tcW w:w="4316" w:type="dxa"/>
            <w:shd w:val="clear" w:color="auto" w:fill="auto"/>
            <w:vAlign w:val="center"/>
          </w:tcPr>
          <w:p w14:paraId="51F2B410">
            <w:pPr>
              <w:spacing w:line="440" w:lineRule="exact"/>
              <w:rPr>
                <w:rFonts w:ascii="Times New Roman" w:hAnsi="Times New Roman" w:eastAsia="宋体" w:cs="Times New Roman"/>
                <w:sz w:val="24"/>
              </w:rPr>
            </w:pPr>
            <w:r>
              <w:rPr>
                <w:rFonts w:ascii="Times New Roman" w:hAnsi="Times New Roman" w:eastAsia="宋体" w:cs="Times New Roman"/>
                <w:sz w:val="24"/>
              </w:rPr>
              <w:t>电    话：010-84724911</w:t>
            </w:r>
          </w:p>
        </w:tc>
      </w:tr>
      <w:tr w14:paraId="7374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0A74070A">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电    话：          </w:t>
            </w:r>
          </w:p>
        </w:tc>
        <w:tc>
          <w:tcPr>
            <w:tcW w:w="4316" w:type="dxa"/>
            <w:shd w:val="clear" w:color="auto" w:fill="auto"/>
            <w:vAlign w:val="center"/>
          </w:tcPr>
          <w:p w14:paraId="5A599512">
            <w:pPr>
              <w:spacing w:line="440" w:lineRule="exact"/>
              <w:rPr>
                <w:rFonts w:ascii="Times New Roman" w:hAnsi="Times New Roman" w:eastAsia="宋体" w:cs="Times New Roman"/>
                <w:sz w:val="24"/>
              </w:rPr>
            </w:pPr>
            <w:r>
              <w:rPr>
                <w:rFonts w:ascii="Times New Roman" w:hAnsi="Times New Roman" w:eastAsia="宋体" w:cs="Times New Roman"/>
                <w:sz w:val="24"/>
              </w:rPr>
              <w:t>传    真：010-84721856</w:t>
            </w:r>
          </w:p>
        </w:tc>
      </w:tr>
      <w:tr w14:paraId="6ADA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169C6A16">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手    机：          </w:t>
            </w:r>
          </w:p>
        </w:tc>
        <w:tc>
          <w:tcPr>
            <w:tcW w:w="4316" w:type="dxa"/>
            <w:shd w:val="clear" w:color="auto" w:fill="auto"/>
            <w:vAlign w:val="center"/>
          </w:tcPr>
          <w:p w14:paraId="338B580C">
            <w:pPr>
              <w:spacing w:line="440" w:lineRule="exact"/>
              <w:rPr>
                <w:rFonts w:ascii="Times New Roman" w:hAnsi="Times New Roman" w:eastAsia="宋体" w:cs="Times New Roman"/>
                <w:sz w:val="24"/>
              </w:rPr>
            </w:pPr>
            <w:r>
              <w:rPr>
                <w:rFonts w:ascii="Times New Roman" w:hAnsi="Times New Roman" w:eastAsia="宋体" w:cs="Times New Roman"/>
                <w:sz w:val="24"/>
              </w:rPr>
              <w:t>http://www.xjyrz.com/</w:t>
            </w:r>
          </w:p>
        </w:tc>
      </w:tr>
      <w:tr w14:paraId="65DB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7EDAA8FA">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传    真：          </w:t>
            </w:r>
          </w:p>
        </w:tc>
        <w:tc>
          <w:tcPr>
            <w:tcW w:w="4316" w:type="dxa"/>
            <w:shd w:val="clear" w:color="auto" w:fill="auto"/>
            <w:vAlign w:val="center"/>
          </w:tcPr>
          <w:p w14:paraId="5965E7C1">
            <w:pPr>
              <w:spacing w:line="440" w:lineRule="exact"/>
              <w:rPr>
                <w:rFonts w:ascii="Times New Roman" w:hAnsi="Times New Roman" w:eastAsia="宋体" w:cs="Times New Roman"/>
                <w:sz w:val="24"/>
              </w:rPr>
            </w:pPr>
            <w:r>
              <w:rPr>
                <w:rFonts w:ascii="Times New Roman" w:hAnsi="Times New Roman" w:eastAsia="宋体" w:cs="Times New Roman"/>
                <w:sz w:val="24"/>
              </w:rPr>
              <w:t>开 户 行：上海浦东发展银行</w:t>
            </w:r>
          </w:p>
        </w:tc>
      </w:tr>
      <w:tr w14:paraId="5E80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12C1E81E">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http://               </w:t>
            </w:r>
          </w:p>
        </w:tc>
        <w:tc>
          <w:tcPr>
            <w:tcW w:w="4316" w:type="dxa"/>
            <w:shd w:val="clear" w:color="auto" w:fill="auto"/>
            <w:vAlign w:val="center"/>
          </w:tcPr>
          <w:p w14:paraId="6480A3BD">
            <w:pPr>
              <w:spacing w:line="440" w:lineRule="exact"/>
              <w:ind w:firstLine="1200" w:firstLineChars="500"/>
              <w:rPr>
                <w:rFonts w:ascii="Times New Roman" w:hAnsi="Times New Roman" w:eastAsia="宋体" w:cs="Times New Roman"/>
                <w:sz w:val="24"/>
              </w:rPr>
            </w:pPr>
            <w:r>
              <w:rPr>
                <w:rFonts w:ascii="Times New Roman" w:hAnsi="Times New Roman" w:eastAsia="宋体" w:cs="Times New Roman"/>
                <w:sz w:val="24"/>
              </w:rPr>
              <w:t>北京电子城支行</w:t>
            </w:r>
          </w:p>
        </w:tc>
      </w:tr>
      <w:tr w14:paraId="6D2F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30AAF741">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E-mail：            </w:t>
            </w:r>
          </w:p>
        </w:tc>
        <w:tc>
          <w:tcPr>
            <w:tcW w:w="4316" w:type="dxa"/>
            <w:shd w:val="clear" w:color="auto" w:fill="auto"/>
            <w:vAlign w:val="center"/>
          </w:tcPr>
          <w:p w14:paraId="27C26460">
            <w:pPr>
              <w:spacing w:line="440" w:lineRule="exact"/>
              <w:rPr>
                <w:rFonts w:ascii="Times New Roman" w:hAnsi="Times New Roman" w:eastAsia="宋体" w:cs="Times New Roman"/>
                <w:sz w:val="24"/>
              </w:rPr>
            </w:pPr>
            <w:r>
              <w:rPr>
                <w:rFonts w:ascii="Times New Roman" w:hAnsi="Times New Roman" w:eastAsia="宋体" w:cs="Times New Roman"/>
                <w:sz w:val="24"/>
              </w:rPr>
              <w:t>户    名：北京新纪源认证有限公司</w:t>
            </w:r>
          </w:p>
        </w:tc>
      </w:tr>
      <w:tr w14:paraId="2020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60193717">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开 户 行：           </w:t>
            </w:r>
          </w:p>
        </w:tc>
        <w:tc>
          <w:tcPr>
            <w:tcW w:w="4316" w:type="dxa"/>
            <w:shd w:val="clear" w:color="auto" w:fill="auto"/>
            <w:vAlign w:val="center"/>
          </w:tcPr>
          <w:p w14:paraId="6F078CC3">
            <w:pPr>
              <w:spacing w:line="440" w:lineRule="exact"/>
              <w:rPr>
                <w:rFonts w:ascii="Times New Roman" w:hAnsi="Times New Roman" w:eastAsia="宋体" w:cs="Times New Roman"/>
                <w:sz w:val="24"/>
              </w:rPr>
            </w:pPr>
            <w:r>
              <w:rPr>
                <w:rFonts w:ascii="Times New Roman" w:hAnsi="Times New Roman" w:eastAsia="宋体" w:cs="Times New Roman"/>
                <w:sz w:val="24"/>
              </w:rPr>
              <w:t>帐    号：91200154800129393</w:t>
            </w:r>
          </w:p>
        </w:tc>
      </w:tr>
      <w:tr w14:paraId="2B87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0CB2637E">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户    名：          </w:t>
            </w:r>
          </w:p>
        </w:tc>
        <w:tc>
          <w:tcPr>
            <w:tcW w:w="4316" w:type="dxa"/>
            <w:shd w:val="clear" w:color="auto" w:fill="auto"/>
            <w:vAlign w:val="center"/>
          </w:tcPr>
          <w:p w14:paraId="63C028FE">
            <w:pPr>
              <w:spacing w:line="440" w:lineRule="exact"/>
              <w:rPr>
                <w:rFonts w:ascii="Times New Roman" w:hAnsi="Times New Roman" w:eastAsia="宋体" w:cs="Times New Roman"/>
                <w:sz w:val="24"/>
              </w:rPr>
            </w:pPr>
            <w:r>
              <w:rPr>
                <w:rFonts w:ascii="Times New Roman" w:hAnsi="Times New Roman" w:eastAsia="宋体" w:cs="Times New Roman"/>
                <w:sz w:val="24"/>
              </w:rPr>
              <w:t>通讯地址：北京市朝阳区望京南湖东园</w:t>
            </w:r>
          </w:p>
        </w:tc>
      </w:tr>
      <w:tr w14:paraId="618D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6D60D63C">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帐    号：          </w:t>
            </w:r>
          </w:p>
        </w:tc>
        <w:tc>
          <w:tcPr>
            <w:tcW w:w="4316" w:type="dxa"/>
            <w:shd w:val="clear" w:color="auto" w:fill="auto"/>
            <w:vAlign w:val="center"/>
          </w:tcPr>
          <w:p w14:paraId="70B85D6C">
            <w:pPr>
              <w:spacing w:line="440" w:lineRule="exact"/>
              <w:ind w:firstLine="1200" w:firstLineChars="500"/>
              <w:rPr>
                <w:rFonts w:ascii="Times New Roman" w:hAnsi="Times New Roman" w:eastAsia="宋体" w:cs="Times New Roman"/>
                <w:sz w:val="24"/>
              </w:rPr>
            </w:pPr>
            <w:r>
              <w:rPr>
                <w:rFonts w:ascii="Times New Roman" w:hAnsi="Times New Roman" w:eastAsia="宋体" w:cs="Times New Roman"/>
                <w:sz w:val="24"/>
              </w:rPr>
              <w:t>122号博泰国际B座805</w:t>
            </w:r>
          </w:p>
        </w:tc>
      </w:tr>
      <w:tr w14:paraId="39CE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4C5701E4">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通讯地址：          </w:t>
            </w:r>
          </w:p>
        </w:tc>
        <w:tc>
          <w:tcPr>
            <w:tcW w:w="4316" w:type="dxa"/>
            <w:shd w:val="clear" w:color="auto" w:fill="auto"/>
            <w:vAlign w:val="center"/>
          </w:tcPr>
          <w:p w14:paraId="01BF56CE">
            <w:pPr>
              <w:spacing w:line="440" w:lineRule="exact"/>
              <w:rPr>
                <w:rFonts w:ascii="Times New Roman" w:hAnsi="Times New Roman" w:eastAsia="宋体" w:cs="Times New Roman"/>
                <w:sz w:val="24"/>
              </w:rPr>
            </w:pPr>
            <w:r>
              <w:rPr>
                <w:rFonts w:ascii="Times New Roman" w:hAnsi="Times New Roman" w:eastAsia="宋体" w:cs="Times New Roman"/>
                <w:sz w:val="24"/>
              </w:rPr>
              <w:t>邮    编：100102</w:t>
            </w:r>
          </w:p>
        </w:tc>
      </w:tr>
      <w:tr w14:paraId="5DF5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25DF8C81">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邮    编：          </w:t>
            </w:r>
          </w:p>
        </w:tc>
        <w:tc>
          <w:tcPr>
            <w:tcW w:w="4316" w:type="dxa"/>
            <w:shd w:val="clear" w:color="auto" w:fill="auto"/>
            <w:vAlign w:val="center"/>
          </w:tcPr>
          <w:p w14:paraId="3CAD399E">
            <w:pPr>
              <w:spacing w:line="440" w:lineRule="exact"/>
              <w:rPr>
                <w:rFonts w:ascii="Times New Roman" w:hAnsi="Times New Roman" w:eastAsia="宋体" w:cs="Times New Roman"/>
                <w:sz w:val="24"/>
              </w:rPr>
            </w:pPr>
          </w:p>
        </w:tc>
      </w:tr>
    </w:tbl>
    <w:p w14:paraId="4BFF60DF"/>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3A67">
    <w:pPr>
      <w:pStyle w:val="4"/>
      <w:jc w:val="right"/>
      <w:rPr>
        <w:rFonts w:asciiTheme="minorEastAsia" w:hAnsiTheme="minorEastAsia"/>
        <w:b/>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BA83F">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6BBA83F">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fldChar w:fldCharType="end"/>
                    </w:r>
                    <w:r>
                      <w:rPr>
                        <w:rFonts w:hint="eastAsia"/>
                      </w:rPr>
                      <w:t xml:space="preserve"> 页</w:t>
                    </w:r>
                  </w:p>
                </w:txbxContent>
              </v:textbox>
            </v:shape>
          </w:pict>
        </mc:Fallback>
      </mc:AlternateContent>
    </w:r>
    <w:r>
      <w:rPr>
        <w:rFonts w:hint="eastAsia" w:asciiTheme="minorEastAsia" w:hAnsiTheme="minorEastAsia"/>
        <w:b/>
      </w:rPr>
      <w:t>共7页 第7页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424715"/>
    </w:sdtPr>
    <w:sdtContent>
      <w:sdt>
        <w:sdtPr>
          <w:id w:val="371111574"/>
        </w:sdtPr>
        <w:sdtContent>
          <w:p w14:paraId="40B8DA69">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6C28F139">
    <w:pPr>
      <w:pStyle w:val="4"/>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8760976"/>
    </w:sdtPr>
    <w:sdtContent>
      <w:sdt>
        <w:sdtPr>
          <w:id w:val="1728636285"/>
        </w:sdtPr>
        <w:sdtContent>
          <w:p w14:paraId="4AAFB801">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04B4C68D">
    <w:pPr>
      <w:spacing w:after="64" w:line="20" w:lineRule="exact"/>
      <w:ind w:firstLine="480"/>
    </w:pPr>
  </w:p>
  <w:p w14:paraId="40E83B76"/>
  <w:p w14:paraId="53176A16"/>
  <w:p w14:paraId="55F5CCAC"/>
  <w:p w14:paraId="6C6A22EF"/>
  <w:p w14:paraId="14529DF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1CE3">
    <w:pPr>
      <w:pStyle w:val="12"/>
    </w:pPr>
    <w:r>
      <w:drawing>
        <wp:anchor distT="0" distB="0" distL="114300" distR="114300" simplePos="0" relativeHeight="251661312" behindDoc="1" locked="0" layoutInCell="1" allowOverlap="1">
          <wp:simplePos x="0" y="0"/>
          <wp:positionH relativeFrom="column">
            <wp:posOffset>-719455</wp:posOffset>
          </wp:positionH>
          <wp:positionV relativeFrom="paragraph">
            <wp:posOffset>-307975</wp:posOffset>
          </wp:positionV>
          <wp:extent cx="581025" cy="62865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7624CA57">
    <w:pPr>
      <w:pStyle w:val="5"/>
      <w:rPr>
        <w:rFonts w:asciiTheme="minorEastAsia" w:hAnsiTheme="minorEastAsia"/>
        <w:b/>
      </w:rPr>
    </w:pPr>
    <w:r>
      <w:rPr>
        <w:rFonts w:asciiTheme="minorEastAsia" w:hAnsiTheme="minorEastAsia"/>
        <w:b/>
        <w:bCs/>
      </w:rPr>
      <w:t>北京</w:t>
    </w:r>
    <w:r>
      <w:rPr>
        <w:rFonts w:hint="eastAsia" w:asciiTheme="minorEastAsia" w:hAnsiTheme="minorEastAsia"/>
        <w:b/>
        <w:bCs/>
      </w:rPr>
      <w:t>新纪源</w:t>
    </w:r>
    <w:r>
      <w:rPr>
        <w:rFonts w:asciiTheme="minorEastAsia" w:hAnsiTheme="minorEastAsia"/>
        <w:b/>
        <w:bCs/>
      </w:rPr>
      <w:t xml:space="preserve">认证有限公司                                      </w:t>
    </w:r>
    <w:r>
      <w:rPr>
        <w:rFonts w:hint="eastAsia" w:asciiTheme="minorEastAsia" w:hAnsiTheme="minorEastAsia"/>
        <w:b/>
        <w:bCs/>
      </w:rPr>
      <w:t xml:space="preserve">             </w:t>
    </w:r>
    <w:r>
      <w:rPr>
        <w:rFonts w:asciiTheme="minorEastAsia" w:hAnsiTheme="minorEastAsia"/>
        <w:b/>
        <w:bCs/>
      </w:rPr>
      <w:t xml:space="preserve"> QP0901R02-1</w:t>
    </w:r>
    <w:r>
      <w:rPr>
        <w:rFonts w:hint="eastAsia" w:asciiTheme="minorEastAsia" w:hAnsiTheme="minorEastAsia"/>
        <w:b/>
        <w:bCs/>
      </w:rPr>
      <w:t xml:space="preserve"> B/0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8A62">
    <w:pPr>
      <w:pStyle w:val="12"/>
    </w:pPr>
    <w:r>
      <w:drawing>
        <wp:anchor distT="0" distB="0" distL="114300" distR="114300" simplePos="0" relativeHeight="251660288" behindDoc="1" locked="0" layoutInCell="1" allowOverlap="1">
          <wp:simplePos x="0" y="0"/>
          <wp:positionH relativeFrom="column">
            <wp:posOffset>-719455</wp:posOffset>
          </wp:positionH>
          <wp:positionV relativeFrom="paragraph">
            <wp:posOffset>-293370</wp:posOffset>
          </wp:positionV>
          <wp:extent cx="581025" cy="6286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7D8268F0">
    <w:pPr>
      <w:pStyle w:val="5"/>
      <w:rPr>
        <w:b/>
      </w:rPr>
    </w:pPr>
    <w:r>
      <w:rPr>
        <w:b/>
        <w:bCs/>
      </w:rPr>
      <w:t xml:space="preserve">北京新纪源认证有限公司                                                 </w:t>
    </w:r>
    <w:r>
      <w:rPr>
        <w:rFonts w:hint="eastAsia"/>
        <w:b/>
        <w:bCs/>
      </w:rPr>
      <w:t xml:space="preserve">  </w:t>
    </w:r>
    <w:r>
      <w:rPr>
        <w:b/>
        <w:bCs/>
      </w:rPr>
      <w:t xml:space="preserve">   </w:t>
    </w:r>
    <w:r>
      <w:rPr>
        <w:rFonts w:hint="eastAsia"/>
        <w:b/>
        <w:bCs/>
      </w:rPr>
      <w:t>T</w:t>
    </w:r>
    <w:r>
      <w:rPr>
        <w:b/>
        <w:bCs/>
      </w:rPr>
      <w:t xml:space="preserve">P0901R02  </w:t>
    </w:r>
    <w:r>
      <w:rPr>
        <w:rFonts w:hint="eastAsia"/>
        <w:b/>
        <w:bCs/>
      </w:rPr>
      <w:t>A</w:t>
    </w:r>
    <w:r>
      <w:rPr>
        <w:b/>
        <w:bCs/>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364D">
    <w:pPr>
      <w:pStyle w:val="5"/>
      <w:ind w:firstLine="360"/>
    </w:pPr>
    <w:r>
      <w:drawing>
        <wp:anchor distT="0" distB="0" distL="114300" distR="114300" simplePos="0" relativeHeight="251659264" behindDoc="1" locked="0" layoutInCell="1" allowOverlap="1">
          <wp:simplePos x="0" y="0"/>
          <wp:positionH relativeFrom="column">
            <wp:posOffset>0</wp:posOffset>
          </wp:positionH>
          <wp:positionV relativeFrom="paragraph">
            <wp:posOffset>-342900</wp:posOffset>
          </wp:positionV>
          <wp:extent cx="581025" cy="628650"/>
          <wp:effectExtent l="0" t="0" r="9525" b="0"/>
          <wp:wrapNone/>
          <wp:docPr id="4" name="图片 4"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画&#10;&#10;中度可信度描述已自动生成"/>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50"/>
                  </a:xfrm>
                  <a:prstGeom prst="rect">
                    <a:avLst/>
                  </a:prstGeom>
                </pic:spPr>
              </pic:pic>
            </a:graphicData>
          </a:graphic>
        </wp:anchor>
      </w:drawing>
    </w:r>
    <w:r>
      <w:ptab w:relativeTo="margin" w:alignment="center" w:leader="none"/>
    </w:r>
    <w:r>
      <w:t xml:space="preserve">                                                                 </w:t>
    </w:r>
    <w:r>
      <w:rPr>
        <w:b/>
        <w:bCs/>
      </w:rPr>
      <w:t>北京新纪源认证有限公司</w:t>
    </w:r>
  </w:p>
  <w:p w14:paraId="259E15A7"/>
  <w:p w14:paraId="5774B44D"/>
  <w:p w14:paraId="6D7BDAA0"/>
  <w:p w14:paraId="4FBF5BA0"/>
  <w:p w14:paraId="426DBC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3ACF5"/>
    <w:multiLevelType w:val="singleLevel"/>
    <w:tmpl w:val="D2C3ACF5"/>
    <w:lvl w:ilvl="0" w:tentative="0">
      <w:start w:val="4"/>
      <w:numFmt w:val="chineseCounting"/>
      <w:suff w:val="space"/>
      <w:lvlText w:val="第%1条"/>
      <w:lvlJc w:val="left"/>
      <w:rPr>
        <w:rFonts w:hint="eastAsia"/>
      </w:rPr>
    </w:lvl>
  </w:abstractNum>
  <w:abstractNum w:abstractNumId="1">
    <w:nsid w:val="69D9FEEE"/>
    <w:multiLevelType w:val="singleLevel"/>
    <w:tmpl w:val="69D9FEEE"/>
    <w:lvl w:ilvl="0" w:tentative="0">
      <w:start w:val="1"/>
      <w:numFmt w:val="lowerLetter"/>
      <w:suff w:val="nothing"/>
      <w:lvlText w:val="%1）"/>
      <w:lvlJc w:val="left"/>
      <w:pPr>
        <w:ind w:left="432"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YmNiYTExODAyMDM4MTFmNmFiZDlhMGRjNzBmZGUifQ=="/>
  </w:docVars>
  <w:rsids>
    <w:rsidRoot w:val="004E4BA9"/>
    <w:rsid w:val="00073E6C"/>
    <w:rsid w:val="000B5CF8"/>
    <w:rsid w:val="000F3233"/>
    <w:rsid w:val="00111EBB"/>
    <w:rsid w:val="00144B58"/>
    <w:rsid w:val="00160DB5"/>
    <w:rsid w:val="001A641B"/>
    <w:rsid w:val="001D1334"/>
    <w:rsid w:val="001F2F1F"/>
    <w:rsid w:val="002145AF"/>
    <w:rsid w:val="00247D8D"/>
    <w:rsid w:val="00250B5D"/>
    <w:rsid w:val="002529A1"/>
    <w:rsid w:val="002D6617"/>
    <w:rsid w:val="002E1FB2"/>
    <w:rsid w:val="002E50C7"/>
    <w:rsid w:val="002F4F1D"/>
    <w:rsid w:val="00302669"/>
    <w:rsid w:val="00352C75"/>
    <w:rsid w:val="00364DD5"/>
    <w:rsid w:val="003675A8"/>
    <w:rsid w:val="00390840"/>
    <w:rsid w:val="003A45E1"/>
    <w:rsid w:val="003C6C8B"/>
    <w:rsid w:val="003C7E91"/>
    <w:rsid w:val="003D3DB2"/>
    <w:rsid w:val="003E42B2"/>
    <w:rsid w:val="003E7432"/>
    <w:rsid w:val="004076EB"/>
    <w:rsid w:val="00411930"/>
    <w:rsid w:val="004C4751"/>
    <w:rsid w:val="004D6A67"/>
    <w:rsid w:val="004E4BA9"/>
    <w:rsid w:val="004F12C9"/>
    <w:rsid w:val="005B0A8E"/>
    <w:rsid w:val="005C4892"/>
    <w:rsid w:val="005D7077"/>
    <w:rsid w:val="005D79D8"/>
    <w:rsid w:val="005E05CE"/>
    <w:rsid w:val="00653DC8"/>
    <w:rsid w:val="00654C5B"/>
    <w:rsid w:val="00666CE3"/>
    <w:rsid w:val="00672FE4"/>
    <w:rsid w:val="00695CAC"/>
    <w:rsid w:val="006E26B1"/>
    <w:rsid w:val="00702A5D"/>
    <w:rsid w:val="00717CD6"/>
    <w:rsid w:val="007578AE"/>
    <w:rsid w:val="0078783B"/>
    <w:rsid w:val="007A4155"/>
    <w:rsid w:val="007B713D"/>
    <w:rsid w:val="007E6D67"/>
    <w:rsid w:val="007F1478"/>
    <w:rsid w:val="0084195B"/>
    <w:rsid w:val="00856E13"/>
    <w:rsid w:val="008D4C4E"/>
    <w:rsid w:val="009546D7"/>
    <w:rsid w:val="00973D4D"/>
    <w:rsid w:val="00992F96"/>
    <w:rsid w:val="009944E3"/>
    <w:rsid w:val="009A0F90"/>
    <w:rsid w:val="009A5354"/>
    <w:rsid w:val="009A5DA8"/>
    <w:rsid w:val="009B3135"/>
    <w:rsid w:val="009C10B6"/>
    <w:rsid w:val="009F7B2B"/>
    <w:rsid w:val="00A05827"/>
    <w:rsid w:val="00A126F4"/>
    <w:rsid w:val="00A12907"/>
    <w:rsid w:val="00A176F4"/>
    <w:rsid w:val="00A2331A"/>
    <w:rsid w:val="00A854A3"/>
    <w:rsid w:val="00A94498"/>
    <w:rsid w:val="00AD1831"/>
    <w:rsid w:val="00B14738"/>
    <w:rsid w:val="00B15E82"/>
    <w:rsid w:val="00B54E6E"/>
    <w:rsid w:val="00B600E0"/>
    <w:rsid w:val="00B66890"/>
    <w:rsid w:val="00B8650B"/>
    <w:rsid w:val="00BD7FEF"/>
    <w:rsid w:val="00C3336C"/>
    <w:rsid w:val="00C46AA3"/>
    <w:rsid w:val="00C91997"/>
    <w:rsid w:val="00C96377"/>
    <w:rsid w:val="00D0075A"/>
    <w:rsid w:val="00D02F1F"/>
    <w:rsid w:val="00D16BBB"/>
    <w:rsid w:val="00D83964"/>
    <w:rsid w:val="00D91780"/>
    <w:rsid w:val="00D96D8D"/>
    <w:rsid w:val="00DC0C4C"/>
    <w:rsid w:val="00DE4190"/>
    <w:rsid w:val="00E03460"/>
    <w:rsid w:val="00E10C29"/>
    <w:rsid w:val="00E21038"/>
    <w:rsid w:val="00E3789C"/>
    <w:rsid w:val="00E44564"/>
    <w:rsid w:val="00E577B2"/>
    <w:rsid w:val="00E936F7"/>
    <w:rsid w:val="00EB0751"/>
    <w:rsid w:val="00EB2B55"/>
    <w:rsid w:val="00F05F8C"/>
    <w:rsid w:val="00F43AA6"/>
    <w:rsid w:val="00F84FA5"/>
    <w:rsid w:val="00F8707A"/>
    <w:rsid w:val="00F87CCA"/>
    <w:rsid w:val="00FC10A4"/>
    <w:rsid w:val="00FC4D5B"/>
    <w:rsid w:val="04E2314F"/>
    <w:rsid w:val="087C7CC4"/>
    <w:rsid w:val="0FE43E02"/>
    <w:rsid w:val="11620195"/>
    <w:rsid w:val="116946CE"/>
    <w:rsid w:val="11C87B39"/>
    <w:rsid w:val="135C4706"/>
    <w:rsid w:val="13CC58CF"/>
    <w:rsid w:val="16BD2F50"/>
    <w:rsid w:val="190C288F"/>
    <w:rsid w:val="1B8462B0"/>
    <w:rsid w:val="1D1E7116"/>
    <w:rsid w:val="1DAE0FF8"/>
    <w:rsid w:val="1F8C04B5"/>
    <w:rsid w:val="1FA471AC"/>
    <w:rsid w:val="21083A01"/>
    <w:rsid w:val="263515B4"/>
    <w:rsid w:val="2A5E2C88"/>
    <w:rsid w:val="2F7964B4"/>
    <w:rsid w:val="31F84007"/>
    <w:rsid w:val="33EE1D21"/>
    <w:rsid w:val="34887617"/>
    <w:rsid w:val="360318A8"/>
    <w:rsid w:val="3B5568A1"/>
    <w:rsid w:val="42D31FED"/>
    <w:rsid w:val="508166BD"/>
    <w:rsid w:val="52A116FA"/>
    <w:rsid w:val="534053B7"/>
    <w:rsid w:val="55A41A91"/>
    <w:rsid w:val="580F7106"/>
    <w:rsid w:val="59886FE5"/>
    <w:rsid w:val="5B36349A"/>
    <w:rsid w:val="5B9938B6"/>
    <w:rsid w:val="5B9F67B1"/>
    <w:rsid w:val="5E084C26"/>
    <w:rsid w:val="5E626CFC"/>
    <w:rsid w:val="5F770109"/>
    <w:rsid w:val="5FCD4EF5"/>
    <w:rsid w:val="63F61C71"/>
    <w:rsid w:val="641240E0"/>
    <w:rsid w:val="647506AB"/>
    <w:rsid w:val="64E67EFB"/>
    <w:rsid w:val="65295CAB"/>
    <w:rsid w:val="73471DDD"/>
    <w:rsid w:val="77F377FB"/>
    <w:rsid w:val="79282F5E"/>
    <w:rsid w:val="7BE124E5"/>
    <w:rsid w:val="7FE6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character" w:styleId="8">
    <w:name w:val="annotation reference"/>
    <w:basedOn w:val="7"/>
    <w:autoRedefine/>
    <w:semiHidden/>
    <w:unhideWhenUsed/>
    <w:qFormat/>
    <w:uiPriority w:val="99"/>
    <w:rPr>
      <w:sz w:val="21"/>
      <w:szCs w:val="21"/>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qFormat/>
    <w:uiPriority w:val="99"/>
    <w:rPr>
      <w:sz w:val="18"/>
      <w:szCs w:val="18"/>
    </w:rPr>
  </w:style>
  <w:style w:type="paragraph" w:customStyle="1" w:styleId="11">
    <w:name w:val="正文文本缩进1"/>
    <w:basedOn w:val="1"/>
    <w:autoRedefine/>
    <w:qFormat/>
    <w:uiPriority w:val="0"/>
    <w:pPr>
      <w:ind w:left="-141"/>
    </w:pPr>
    <w:rPr>
      <w:sz w:val="28"/>
      <w:szCs w:val="24"/>
    </w:rPr>
  </w:style>
  <w:style w:type="paragraph" w:customStyle="1" w:styleId="12">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批注框文本 Char"/>
    <w:basedOn w:val="7"/>
    <w:link w:val="3"/>
    <w:semiHidden/>
    <w:qFormat/>
    <w:uiPriority w:val="99"/>
    <w:rPr>
      <w:rFonts w:asciiTheme="minorHAnsi" w:hAnsiTheme="minorHAnsi" w:eastAsiaTheme="minorEastAsia" w:cstheme="minorBidi"/>
      <w:kern w:val="2"/>
      <w:sz w:val="18"/>
      <w:szCs w:val="18"/>
    </w:rPr>
  </w:style>
  <w:style w:type="paragraph" w:styleId="14">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D6FF3-4582-46BC-9B42-5C3311B194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3087</Words>
  <Characters>3251</Characters>
  <Lines>31</Lines>
  <Paragraphs>8</Paragraphs>
  <TotalTime>37</TotalTime>
  <ScaleCrop>false</ScaleCrop>
  <LinksUpToDate>false</LinksUpToDate>
  <CharactersWithSpaces>3803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2024-04-25T09:21:00Z</dcterms:created>
  <dc:creator>Administrator</dc:creator>
  <cp:lastModifiedBy>Mr.帅气的cyq</cp:lastModifiedBy>
  <dcterms:modified xsi:type="dcterms:W3CDTF">2025-06-12T08:22:39Z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152FAE73E06A4167944FED598FCAF283_13</vt:lpwstr>
  </property>
  <property fmtid="{D5CDD505-2E9C-101B-9397-08002B2CF9AE}" pid="4" name="KSOTemplateDocerSaveRecord">
    <vt:lpwstr>eyJoZGlkIjoiOTQyYmNiYTExODAyMDM4MTFmNmFiZDlhMGRjNzBmZGUiLCJ1c2VySWQiOiI0MTU3NjI2OTgifQ==</vt:lpwstr>
  </property>
</Properties>
</file>