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7CA7">
      <w:pPr>
        <w:spacing w:before="156" w:beforeLines="50" w:after="156" w:afterLines="50" w:line="400" w:lineRule="exact"/>
        <w:ind w:firstLine="5520" w:firstLineChars="2300"/>
        <w:rPr>
          <w:rFonts w:hint="eastAsia"/>
          <w:sz w:val="24"/>
          <w:u w:val="single"/>
        </w:rPr>
      </w:pPr>
      <w:r>
        <w:rPr>
          <w:sz w:val="24"/>
        </w:rPr>
        <w:t>合同编号：</w:t>
      </w:r>
      <w:r>
        <w:rPr>
          <w:sz w:val="24"/>
          <w:u w:val="single"/>
        </w:rPr>
        <w:t xml:space="preserve">　  </w:t>
      </w:r>
      <w:r>
        <w:rPr>
          <w:rFonts w:hint="eastAsia"/>
          <w:sz w:val="24"/>
          <w:u w:val="single"/>
        </w:rPr>
        <w:t>　</w:t>
      </w:r>
      <w:r>
        <w:rPr>
          <w:sz w:val="24"/>
          <w:u w:val="single"/>
        </w:rPr>
        <w:t xml:space="preserve">           　　</w:t>
      </w:r>
    </w:p>
    <w:p w14:paraId="5BCEF68C">
      <w:pPr>
        <w:rPr>
          <w:rFonts w:hint="eastAsia"/>
          <w:sz w:val="24"/>
        </w:rPr>
      </w:pPr>
    </w:p>
    <w:p w14:paraId="2DD53792">
      <w:pPr>
        <w:rPr>
          <w:rFonts w:hint="eastAsia"/>
          <w:sz w:val="24"/>
        </w:rPr>
      </w:pPr>
    </w:p>
    <w:p w14:paraId="67C1A64A">
      <w:pPr>
        <w:rPr>
          <w:rFonts w:hint="eastAsia"/>
          <w:sz w:val="24"/>
        </w:rPr>
      </w:pPr>
    </w:p>
    <w:p w14:paraId="0B156550">
      <w:pPr>
        <w:jc w:val="center"/>
        <w:rPr>
          <w:rFonts w:hint="eastAsia" w:ascii="宋体" w:hAnsi="宋体" w:eastAsia="宋体" w:cs="宋体"/>
          <w:sz w:val="24"/>
        </w:rPr>
      </w:pPr>
      <w:r>
        <w:rPr>
          <w:rFonts w:hint="eastAsia" w:ascii="宋体" w:hAnsi="宋体" w:eastAsia="宋体" w:cs="宋体"/>
          <w:sz w:val="52"/>
          <w:szCs w:val="52"/>
        </w:rPr>
        <w:t>温室气体核查合同</w:t>
      </w:r>
    </w:p>
    <w:p w14:paraId="4EDC6E47">
      <w:pPr>
        <w:rPr>
          <w:rFonts w:hint="eastAsia" w:ascii="宋体" w:hAnsi="宋体" w:eastAsia="宋体" w:cs="宋体"/>
          <w:sz w:val="24"/>
        </w:rPr>
      </w:pPr>
    </w:p>
    <w:p w14:paraId="797F66D1">
      <w:pPr>
        <w:rPr>
          <w:rFonts w:hint="eastAsia" w:ascii="宋体" w:hAnsi="宋体" w:eastAsia="宋体" w:cs="宋体"/>
          <w:sz w:val="24"/>
        </w:rPr>
      </w:pPr>
    </w:p>
    <w:p w14:paraId="279855A4">
      <w:pPr>
        <w:ind w:firstLine="602"/>
        <w:rPr>
          <w:rFonts w:hint="eastAsia" w:ascii="宋体" w:hAnsi="宋体" w:eastAsia="宋体" w:cs="宋体"/>
          <w:b/>
          <w:sz w:val="28"/>
          <w:szCs w:val="28"/>
        </w:rPr>
      </w:pPr>
      <w:r>
        <w:rPr>
          <w:rFonts w:hint="eastAsia" w:ascii="宋体" w:hAnsi="宋体" w:eastAsia="宋体" w:cs="宋体"/>
          <w:b/>
          <w:sz w:val="28"/>
          <w:szCs w:val="28"/>
        </w:rPr>
        <w:t>申请项目名称：</w:t>
      </w:r>
      <w:sdt>
        <w:sdtPr>
          <w:rPr>
            <w:rFonts w:hint="eastAsia" w:ascii="宋体" w:hAnsi="宋体" w:eastAsia="宋体" w:cs="宋体"/>
            <w:b/>
            <w:sz w:val="28"/>
            <w:szCs w:val="28"/>
          </w:rPr>
          <w:id w:val="-2043273538"/>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hint="eastAsia" w:ascii="MS Gothic" w:hAnsi="MS Gothic" w:eastAsia="MS Gothic" w:cs="宋体"/>
              <w:b/>
              <w:sz w:val="28"/>
              <w:szCs w:val="28"/>
            </w:rPr>
            <w:t>☐</w:t>
          </w:r>
        </w:sdtContent>
      </w:sdt>
      <w:r>
        <w:rPr>
          <w:rFonts w:hint="eastAsia" w:ascii="宋体" w:hAnsi="宋体" w:eastAsia="宋体" w:cs="宋体"/>
          <w:b/>
          <w:sz w:val="28"/>
          <w:szCs w:val="28"/>
        </w:rPr>
        <w:t>温室气体排放（组织层次）核查：</w:t>
      </w:r>
    </w:p>
    <w:p w14:paraId="1A1A35D8">
      <w:pPr>
        <w:ind w:firstLine="2530" w:firstLineChars="900"/>
        <w:rPr>
          <w:rFonts w:hint="eastAsia" w:ascii="宋体" w:hAnsi="宋体" w:eastAsia="宋体" w:cs="宋体"/>
          <w:b/>
          <w:sz w:val="28"/>
          <w:szCs w:val="28"/>
          <w:u w:val="single"/>
        </w:rPr>
      </w:pPr>
      <w:sdt>
        <w:sdtPr>
          <w:rPr>
            <w:rFonts w:hint="eastAsia" w:ascii="宋体" w:hAnsi="宋体" w:eastAsia="宋体" w:cs="宋体"/>
            <w:b/>
            <w:sz w:val="28"/>
            <w:szCs w:val="28"/>
          </w:rPr>
          <w:id w:val="821622525"/>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初次核查 </w:t>
      </w:r>
      <w:r>
        <w:rPr>
          <w:rFonts w:ascii="宋体" w:hAnsi="宋体" w:eastAsia="宋体" w:cs="宋体"/>
          <w:b/>
          <w:sz w:val="28"/>
          <w:szCs w:val="28"/>
        </w:rPr>
        <w:t xml:space="preserve"> </w:t>
      </w:r>
      <w:sdt>
        <w:sdtPr>
          <w:rPr>
            <w:rFonts w:hint="eastAsia" w:ascii="宋体" w:hAnsi="宋体" w:eastAsia="宋体" w:cs="宋体"/>
            <w:b/>
            <w:sz w:val="28"/>
            <w:szCs w:val="28"/>
          </w:rPr>
          <w:id w:val="-1538653368"/>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持续核查 </w:t>
      </w:r>
      <w:r>
        <w:rPr>
          <w:rFonts w:ascii="宋体" w:hAnsi="宋体" w:eastAsia="宋体" w:cs="宋体"/>
          <w:b/>
          <w:sz w:val="28"/>
          <w:szCs w:val="28"/>
        </w:rPr>
        <w:t xml:space="preserve"> </w:t>
      </w:r>
      <w:sdt>
        <w:sdtPr>
          <w:rPr>
            <w:rFonts w:hint="eastAsia" w:ascii="宋体" w:hAnsi="宋体" w:eastAsia="宋体" w:cs="宋体"/>
            <w:b/>
            <w:sz w:val="28"/>
            <w:szCs w:val="28"/>
          </w:rPr>
          <w:id w:val="490135326"/>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ascii="宋体" w:hAnsi="宋体" w:eastAsia="宋体" w:cs="宋体"/>
          <w:b/>
          <w:sz w:val="28"/>
          <w:szCs w:val="28"/>
        </w:rPr>
        <w:t>其他：</w:t>
      </w:r>
      <w:r>
        <w:rPr>
          <w:rFonts w:hint="eastAsia" w:ascii="宋体" w:hAnsi="宋体" w:eastAsia="宋体" w:cs="宋体"/>
          <w:b/>
          <w:sz w:val="28"/>
          <w:szCs w:val="28"/>
          <w:u w:val="single"/>
        </w:rPr>
        <w:t xml:space="preserve"> </w:t>
      </w:r>
      <w:r>
        <w:rPr>
          <w:rFonts w:ascii="宋体" w:hAnsi="宋体" w:eastAsia="宋体" w:cs="宋体"/>
          <w:b/>
          <w:sz w:val="28"/>
          <w:szCs w:val="28"/>
          <w:u w:val="single"/>
        </w:rPr>
        <w:t xml:space="preserve">        </w:t>
      </w:r>
    </w:p>
    <w:p w14:paraId="7A905AF5">
      <w:pPr>
        <w:ind w:firstLine="2530" w:firstLineChars="900"/>
        <w:rPr>
          <w:rFonts w:hint="eastAsia" w:ascii="宋体" w:hAnsi="宋体" w:eastAsia="宋体" w:cs="宋体"/>
          <w:b/>
          <w:sz w:val="28"/>
          <w:szCs w:val="28"/>
        </w:rPr>
      </w:pPr>
      <w:sdt>
        <w:sdtPr>
          <w:rPr>
            <w:rFonts w:hint="eastAsia" w:ascii="宋体" w:hAnsi="宋体" w:eastAsia="宋体" w:cs="宋体"/>
            <w:b/>
            <w:sz w:val="28"/>
            <w:szCs w:val="28"/>
          </w:rPr>
          <w:id w:val="974261085"/>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温室气体排放（项目层次）核查：</w:t>
      </w:r>
    </w:p>
    <w:p w14:paraId="0EFE71C0">
      <w:pPr>
        <w:ind w:firstLine="2530" w:firstLineChars="900"/>
        <w:rPr>
          <w:rFonts w:hint="eastAsia" w:ascii="宋体" w:hAnsi="宋体" w:eastAsia="宋体" w:cs="宋体"/>
          <w:b/>
          <w:sz w:val="28"/>
          <w:szCs w:val="28"/>
        </w:rPr>
      </w:pPr>
      <w:sdt>
        <w:sdtPr>
          <w:rPr>
            <w:rFonts w:hint="eastAsia" w:ascii="宋体" w:hAnsi="宋体" w:eastAsia="宋体" w:cs="宋体"/>
            <w:b/>
            <w:sz w:val="28"/>
            <w:szCs w:val="28"/>
          </w:rPr>
          <w:id w:val="1333957106"/>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初次核查 </w:t>
      </w:r>
      <w:r>
        <w:rPr>
          <w:rFonts w:ascii="宋体" w:hAnsi="宋体" w:eastAsia="宋体" w:cs="宋体"/>
          <w:b/>
          <w:sz w:val="28"/>
          <w:szCs w:val="28"/>
        </w:rPr>
        <w:t xml:space="preserve"> </w:t>
      </w:r>
      <w:sdt>
        <w:sdtPr>
          <w:rPr>
            <w:rFonts w:hint="eastAsia" w:ascii="宋体" w:hAnsi="宋体" w:eastAsia="宋体" w:cs="宋体"/>
            <w:b/>
            <w:sz w:val="28"/>
            <w:szCs w:val="28"/>
          </w:rPr>
          <w:id w:val="1251080020"/>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持续核查 </w:t>
      </w:r>
      <w:r>
        <w:rPr>
          <w:rFonts w:ascii="宋体" w:hAnsi="宋体" w:eastAsia="宋体" w:cs="宋体"/>
          <w:b/>
          <w:sz w:val="28"/>
          <w:szCs w:val="28"/>
        </w:rPr>
        <w:t xml:space="preserve"> </w:t>
      </w:r>
      <w:sdt>
        <w:sdtPr>
          <w:rPr>
            <w:rFonts w:hint="eastAsia" w:ascii="宋体" w:hAnsi="宋体" w:eastAsia="宋体" w:cs="宋体"/>
            <w:b/>
            <w:sz w:val="28"/>
            <w:szCs w:val="28"/>
          </w:rPr>
          <w:id w:val="-1345323170"/>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ascii="宋体" w:hAnsi="宋体" w:eastAsia="宋体" w:cs="宋体"/>
          <w:b/>
          <w:sz w:val="28"/>
          <w:szCs w:val="28"/>
        </w:rPr>
        <w:t>其他：</w:t>
      </w:r>
      <w:r>
        <w:rPr>
          <w:rFonts w:hint="eastAsia" w:ascii="宋体" w:hAnsi="宋体" w:eastAsia="宋体" w:cs="宋体"/>
          <w:b/>
          <w:sz w:val="28"/>
          <w:szCs w:val="28"/>
          <w:u w:val="single"/>
        </w:rPr>
        <w:t xml:space="preserve"> </w:t>
      </w:r>
      <w:r>
        <w:rPr>
          <w:rFonts w:ascii="宋体" w:hAnsi="宋体" w:eastAsia="宋体" w:cs="宋体"/>
          <w:b/>
          <w:sz w:val="28"/>
          <w:szCs w:val="28"/>
          <w:u w:val="single"/>
        </w:rPr>
        <w:t xml:space="preserve">        </w:t>
      </w:r>
    </w:p>
    <w:p w14:paraId="525E9942">
      <w:pPr>
        <w:ind w:firstLine="2530" w:firstLineChars="900"/>
        <w:rPr>
          <w:rFonts w:hint="eastAsia" w:ascii="宋体" w:hAnsi="宋体" w:eastAsia="宋体" w:cs="宋体"/>
          <w:b/>
          <w:sz w:val="28"/>
          <w:szCs w:val="28"/>
        </w:rPr>
      </w:pPr>
      <w:sdt>
        <w:sdtPr>
          <w:rPr>
            <w:rFonts w:hint="eastAsia" w:ascii="宋体" w:hAnsi="宋体" w:eastAsia="宋体" w:cs="宋体"/>
            <w:b/>
            <w:sz w:val="28"/>
            <w:szCs w:val="28"/>
          </w:rPr>
          <w:id w:val="-1218202230"/>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产品碳足迹核查：</w:t>
      </w:r>
    </w:p>
    <w:p w14:paraId="122A4FE6">
      <w:pPr>
        <w:ind w:firstLine="2530" w:firstLineChars="900"/>
        <w:rPr>
          <w:rFonts w:hint="eastAsia" w:ascii="宋体" w:hAnsi="宋体" w:eastAsia="宋体" w:cs="宋体"/>
          <w:b/>
          <w:sz w:val="28"/>
          <w:szCs w:val="28"/>
        </w:rPr>
      </w:pPr>
      <w:sdt>
        <w:sdtPr>
          <w:rPr>
            <w:rFonts w:hint="eastAsia" w:ascii="宋体" w:hAnsi="宋体" w:eastAsia="宋体" w:cs="宋体"/>
            <w:b/>
            <w:sz w:val="28"/>
            <w:szCs w:val="28"/>
          </w:rPr>
          <w:id w:val="686566228"/>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初次核查 </w:t>
      </w:r>
      <w:r>
        <w:rPr>
          <w:rFonts w:ascii="宋体" w:hAnsi="宋体" w:eastAsia="宋体" w:cs="宋体"/>
          <w:b/>
          <w:sz w:val="28"/>
          <w:szCs w:val="28"/>
        </w:rPr>
        <w:t xml:space="preserve"> </w:t>
      </w:r>
      <w:sdt>
        <w:sdtPr>
          <w:rPr>
            <w:rFonts w:hint="eastAsia" w:ascii="宋体" w:hAnsi="宋体" w:eastAsia="宋体" w:cs="宋体"/>
            <w:b/>
            <w:sz w:val="28"/>
            <w:szCs w:val="28"/>
          </w:rPr>
          <w:id w:val="1924604913"/>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hint="eastAsia" w:ascii="宋体" w:hAnsi="宋体" w:eastAsia="宋体" w:cs="宋体"/>
          <w:b/>
          <w:sz w:val="28"/>
          <w:szCs w:val="28"/>
        </w:rPr>
        <w:t xml:space="preserve">持续核查 </w:t>
      </w:r>
      <w:r>
        <w:rPr>
          <w:rFonts w:ascii="宋体" w:hAnsi="宋体" w:eastAsia="宋体" w:cs="宋体"/>
          <w:b/>
          <w:sz w:val="28"/>
          <w:szCs w:val="28"/>
        </w:rPr>
        <w:t xml:space="preserve"> </w:t>
      </w:r>
      <w:sdt>
        <w:sdtPr>
          <w:rPr>
            <w:rFonts w:hint="eastAsia" w:ascii="宋体" w:hAnsi="宋体" w:eastAsia="宋体" w:cs="宋体"/>
            <w:b/>
            <w:sz w:val="28"/>
            <w:szCs w:val="28"/>
          </w:rPr>
          <w:id w:val="366187348"/>
          <w14:checkbox>
            <w14:checked w14:val="0"/>
            <w14:checkedState w14:val="0052" w14:font="Wingdings 2"/>
            <w14:uncheckedState w14:val="2610" w14:font="MS Gothic"/>
          </w14:checkbox>
        </w:sdtPr>
        <w:sdtEndPr>
          <w:rPr>
            <w:rFonts w:hint="eastAsia" w:ascii="宋体" w:hAnsi="宋体" w:eastAsia="宋体" w:cs="宋体"/>
            <w:b/>
            <w:sz w:val="28"/>
            <w:szCs w:val="28"/>
          </w:rPr>
        </w:sdtEndPr>
        <w:sdtContent>
          <w:r>
            <w:rPr>
              <w:rFonts w:ascii="Segoe UI Symbol" w:hAnsi="Segoe UI Symbol" w:eastAsia="宋体" w:cs="Segoe UI Symbol"/>
              <w:b/>
              <w:sz w:val="28"/>
              <w:szCs w:val="28"/>
            </w:rPr>
            <w:t>☐</w:t>
          </w:r>
        </w:sdtContent>
      </w:sdt>
      <w:r>
        <w:rPr>
          <w:rFonts w:ascii="宋体" w:hAnsi="宋体" w:eastAsia="宋体" w:cs="宋体"/>
          <w:b/>
          <w:sz w:val="28"/>
          <w:szCs w:val="28"/>
        </w:rPr>
        <w:t>其他：</w:t>
      </w:r>
      <w:r>
        <w:rPr>
          <w:rFonts w:hint="eastAsia" w:ascii="宋体" w:hAnsi="宋体" w:eastAsia="宋体" w:cs="宋体"/>
          <w:b/>
          <w:sz w:val="28"/>
          <w:szCs w:val="28"/>
          <w:u w:val="single"/>
        </w:rPr>
        <w:t xml:space="preserve"> </w:t>
      </w:r>
      <w:r>
        <w:rPr>
          <w:rFonts w:ascii="宋体" w:hAnsi="宋体" w:eastAsia="宋体" w:cs="宋体"/>
          <w:b/>
          <w:sz w:val="28"/>
          <w:szCs w:val="28"/>
          <w:u w:val="single"/>
        </w:rPr>
        <w:t xml:space="preserve">        </w:t>
      </w:r>
    </w:p>
    <w:p w14:paraId="7C47D2A3">
      <w:pPr>
        <w:rPr>
          <w:rFonts w:hint="eastAsia"/>
          <w:sz w:val="24"/>
        </w:rPr>
      </w:pPr>
    </w:p>
    <w:p w14:paraId="6A68BE3C">
      <w:pPr>
        <w:rPr>
          <w:rFonts w:hint="eastAsia"/>
          <w:sz w:val="24"/>
        </w:rPr>
      </w:pPr>
    </w:p>
    <w:p w14:paraId="4F56E9EC">
      <w:pPr>
        <w:rPr>
          <w:rFonts w:hint="eastAsia"/>
          <w:sz w:val="24"/>
        </w:rPr>
      </w:pPr>
    </w:p>
    <w:p w14:paraId="5458F2AD">
      <w:pPr>
        <w:rPr>
          <w:rFonts w:hint="eastAsia"/>
          <w:sz w:val="24"/>
        </w:rPr>
      </w:pPr>
    </w:p>
    <w:p w14:paraId="7362BEEC">
      <w:pPr>
        <w:rPr>
          <w:rFonts w:hint="eastAsia"/>
          <w:sz w:val="24"/>
        </w:rPr>
      </w:pPr>
    </w:p>
    <w:p w14:paraId="2E43490A">
      <w:pPr>
        <w:ind w:firstLine="643"/>
        <w:rPr>
          <w:rFonts w:hint="eastAsia"/>
          <w:b/>
          <w:bCs/>
          <w:sz w:val="32"/>
          <w:szCs w:val="32"/>
        </w:rPr>
      </w:pPr>
      <w:r>
        <w:rPr>
          <w:rFonts w:hint="eastAsia"/>
          <w:b/>
          <w:bCs/>
          <w:sz w:val="32"/>
          <w:szCs w:val="32"/>
        </w:rPr>
        <w:t>申请组织</w:t>
      </w:r>
      <w:r>
        <w:rPr>
          <w:b/>
          <w:bCs/>
          <w:sz w:val="32"/>
          <w:szCs w:val="32"/>
        </w:rPr>
        <w:t>（甲方）</w:t>
      </w:r>
      <w:r>
        <w:rPr>
          <w:b/>
          <w:bCs/>
          <w:sz w:val="32"/>
          <w:szCs w:val="32"/>
          <w:u w:val="single"/>
        </w:rPr>
        <w:t xml:space="preserve">      </w:t>
      </w:r>
      <w:r>
        <w:rPr>
          <w:rFonts w:hint="eastAsia"/>
          <w:b/>
          <w:bCs/>
          <w:sz w:val="32"/>
          <w:szCs w:val="32"/>
          <w:u w:val="single"/>
        </w:rPr>
        <w:t xml:space="preserve">                            </w:t>
      </w:r>
    </w:p>
    <w:p w14:paraId="6655CE49">
      <w:pPr>
        <w:rPr>
          <w:rFonts w:hint="eastAsia"/>
          <w:sz w:val="24"/>
        </w:rPr>
      </w:pPr>
    </w:p>
    <w:p w14:paraId="04D7B591">
      <w:pPr>
        <w:spacing w:after="156" w:afterLines="50" w:line="288" w:lineRule="auto"/>
        <w:ind w:firstLine="643"/>
        <w:rPr>
          <w:rFonts w:hint="eastAsia"/>
          <w:b/>
          <w:bCs/>
          <w:sz w:val="32"/>
          <w:szCs w:val="32"/>
          <w:u w:val="single"/>
        </w:rPr>
        <w:sectPr>
          <w:headerReference r:id="rId4" w:type="first"/>
          <w:footerReference r:id="rId6" w:type="first"/>
          <w:headerReference r:id="rId3" w:type="default"/>
          <w:footerReference r:id="rId5" w:type="default"/>
          <w:pgSz w:w="11906" w:h="16838"/>
          <w:pgMar w:top="1134" w:right="851" w:bottom="851" w:left="1418" w:header="567" w:footer="567" w:gutter="0"/>
          <w:pgNumType w:start="1"/>
          <w:cols w:space="720" w:num="1"/>
          <w:titlePg/>
          <w:docGrid w:type="lines" w:linePitch="312" w:charSpace="0"/>
        </w:sectPr>
      </w:pPr>
      <w:r>
        <w:rPr>
          <w:rFonts w:hint="eastAsia" w:asciiTheme="minorEastAsia" w:hAnsiTheme="minorEastAsia" w:cstheme="minorEastAsia"/>
          <w:b/>
          <w:bCs/>
          <w:sz w:val="32"/>
          <w:szCs w:val="24"/>
        </w:rPr>
        <w:t>受托</w:t>
      </w:r>
      <w:r>
        <w:rPr>
          <w:b/>
          <w:bCs/>
          <w:sz w:val="32"/>
          <w:szCs w:val="32"/>
        </w:rPr>
        <w:t>方（乙方）</w:t>
      </w:r>
      <w:r>
        <w:rPr>
          <w:b/>
          <w:bCs/>
          <w:sz w:val="32"/>
          <w:szCs w:val="32"/>
          <w:u w:val="single"/>
        </w:rPr>
        <w:t xml:space="preserve">      北京新纪源认证有限公司       </w:t>
      </w:r>
    </w:p>
    <w:p w14:paraId="625D367E">
      <w:pPr>
        <w:spacing w:after="156" w:afterLines="50" w:line="288"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依据《中华人民共和国民法典》之规定，甲乙双方就核查项目，经平等协商，在真实、充分地表达各自意愿的基础上，签订本合同，双方共同遵守履行。双方确认，在签订本合同之前，已经充分知悉并了解本合同全部定义、条款之内容。</w:t>
      </w:r>
    </w:p>
    <w:p w14:paraId="2D00702B">
      <w:pPr>
        <w:pStyle w:val="15"/>
        <w:numPr>
          <w:ilvl w:val="0"/>
          <w:numId w:val="1"/>
        </w:numPr>
        <w:spacing w:line="288" w:lineRule="auto"/>
        <w:jc w:val="left"/>
        <w:rPr>
          <w:rFonts w:hint="eastAsia" w:ascii="宋体" w:hAnsi="宋体" w:eastAsia="宋体" w:cs="Times New Roman"/>
          <w:szCs w:val="21"/>
        </w:rPr>
      </w:pPr>
      <w:r>
        <w:rPr>
          <w:rFonts w:hint="eastAsia" w:ascii="宋体" w:hAnsi="宋体" w:eastAsia="宋体" w:cs="Times New Roman"/>
          <w:szCs w:val="21"/>
        </w:rPr>
        <w:t>核查内容、范围及目的</w:t>
      </w:r>
    </w:p>
    <w:p w14:paraId="04DBE6C9">
      <w:pPr>
        <w:pStyle w:val="15"/>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1、</w:t>
      </w:r>
      <w:sdt>
        <w:sdtPr>
          <w:rPr>
            <w:rFonts w:ascii="Segoe UI Symbol" w:hAnsi="Segoe UI Symbol" w:eastAsia="宋体" w:cs="Segoe UI Symbol"/>
            <w:szCs w:val="21"/>
          </w:rPr>
          <w:id w:val="147453688"/>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ascii="MS Gothic" w:hAnsi="MS Gothic" w:eastAsia="宋体" w:cs="Segoe UI Symbol"/>
              <w:szCs w:val="21"/>
            </w:rPr>
            <w:t>☐</w:t>
          </w:r>
        </w:sdtContent>
      </w:sdt>
      <w:r>
        <w:rPr>
          <w:rFonts w:hint="eastAsia" w:ascii="宋体" w:hAnsi="宋体" w:eastAsia="宋体" w:cs="Times New Roman"/>
          <w:szCs w:val="21"/>
        </w:rPr>
        <w:t>乙方依据ISO 14064-1:2018、ISO 14064-3:2019、企业核算报告程序及相关文件、法律法规和排放报告采用的区域地方核算标准、核查方案：</w:t>
      </w:r>
      <w:bookmarkStart w:id="0" w:name="OLE_LINK2"/>
      <w:sdt>
        <w:sdtPr>
          <w:rPr>
            <w:rFonts w:ascii="Segoe UI Symbol" w:hAnsi="Segoe UI Symbol" w:eastAsia="宋体" w:cs="Segoe UI Symbol"/>
            <w:szCs w:val="21"/>
          </w:rPr>
          <w:id w:val="147471506"/>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ascii="MS Gothic" w:hAnsi="MS Gothic" w:eastAsia="宋体" w:cs="Segoe UI Symbol"/>
              <w:kern w:val="2"/>
              <w:sz w:val="21"/>
              <w:szCs w:val="21"/>
              <w:lang w:val="en-US" w:eastAsia="zh-CN" w:bidi="ar-SA"/>
            </w:rPr>
            <w:t>☐</w:t>
          </w:r>
        </w:sdtContent>
      </w:sdt>
      <w:r>
        <w:rPr>
          <w:rFonts w:hint="eastAsia" w:ascii="宋体" w:hAnsi="宋体" w:eastAsia="宋体" w:cs="Times New Roman"/>
          <w:szCs w:val="21"/>
        </w:rPr>
        <w:t xml:space="preserve"> TP0903 《一般制造业组织温室气体排放核查方案》</w:t>
      </w:r>
      <w:sdt>
        <w:sdtPr>
          <w:rPr>
            <w:rFonts w:ascii="Segoe UI Symbol" w:hAnsi="Segoe UI Symbol" w:eastAsia="宋体" w:cs="Segoe UI Symbol"/>
            <w:szCs w:val="21"/>
          </w:rPr>
          <w:id w:val="14746024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ascii="MS Gothic" w:hAnsi="MS Gothic" w:eastAsia="宋体" w:cs="Segoe UI Symbol"/>
              <w:kern w:val="2"/>
              <w:sz w:val="21"/>
              <w:szCs w:val="21"/>
              <w:lang w:val="en-US" w:eastAsia="zh-CN" w:bidi="ar-SA"/>
            </w:rPr>
            <w:t>☐</w:t>
          </w:r>
        </w:sdtContent>
      </w:sdt>
      <w:r>
        <w:rPr>
          <w:rFonts w:hint="eastAsia" w:ascii="宋体" w:hAnsi="宋体" w:eastAsia="宋体" w:cs="Times New Roman"/>
          <w:szCs w:val="21"/>
        </w:rPr>
        <w:t xml:space="preserve"> TP090</w:t>
      </w:r>
      <w:r>
        <w:rPr>
          <w:rFonts w:hint="eastAsia" w:ascii="宋体" w:hAnsi="宋体" w:eastAsia="宋体" w:cs="Times New Roman"/>
          <w:szCs w:val="21"/>
          <w:lang w:val="en-US" w:eastAsia="zh-CN"/>
        </w:rPr>
        <w:t>2</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服务业</w:t>
      </w:r>
      <w:r>
        <w:rPr>
          <w:rFonts w:hint="eastAsia" w:ascii="宋体" w:hAnsi="宋体" w:eastAsia="宋体" w:cs="Times New Roman"/>
          <w:szCs w:val="21"/>
        </w:rPr>
        <w:t>组织温室气体排放核查方案》</w:t>
      </w:r>
      <w:sdt>
        <w:sdtPr>
          <w:rPr>
            <w:rFonts w:ascii="Segoe UI Symbol" w:hAnsi="Segoe UI Symbol" w:eastAsia="宋体" w:cs="Segoe UI Symbol"/>
            <w:szCs w:val="21"/>
          </w:rPr>
          <w:id w:val="14746590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ascii="MS Gothic" w:hAnsi="MS Gothic" w:eastAsia="宋体" w:cs="Segoe UI Symbol"/>
              <w:kern w:val="2"/>
              <w:sz w:val="21"/>
              <w:szCs w:val="21"/>
              <w:lang w:val="en-US" w:eastAsia="zh-CN" w:bidi="ar-SA"/>
            </w:rPr>
            <w:t>☐</w:t>
          </w:r>
        </w:sdtContent>
      </w:sdt>
      <w:r>
        <w:rPr>
          <w:rFonts w:hint="eastAsia" w:ascii="宋体" w:hAnsi="宋体" w:eastAsia="宋体" w:cs="Times New Roman"/>
          <w:szCs w:val="21"/>
          <w:lang w:val="en-US" w:eastAsia="zh-CN"/>
        </w:rPr>
        <w:t>申请组织方案或即将制定的方案：</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，对申请组织实施</w:t>
      </w:r>
      <w:bookmarkEnd w:id="0"/>
      <w:r>
        <w:rPr>
          <w:rFonts w:hint="eastAsia" w:ascii="宋体" w:hAnsi="宋体" w:eastAsia="宋体" w:cs="Times New Roman"/>
          <w:szCs w:val="21"/>
        </w:rPr>
        <w:t>组织层次核查。</w:t>
      </w:r>
    </w:p>
    <w:p w14:paraId="0331533D">
      <w:pPr>
        <w:pStyle w:val="15"/>
        <w:spacing w:line="288" w:lineRule="auto"/>
        <w:ind w:left="442"/>
        <w:jc w:val="left"/>
        <w:rPr>
          <w:rFonts w:hint="eastAsia" w:ascii="宋体" w:hAnsi="宋体" w:eastAsia="宋体" w:cs="Times New Roman"/>
          <w:szCs w:val="21"/>
        </w:rPr>
      </w:pPr>
      <w:r>
        <w:rPr>
          <w:rFonts w:ascii="宋体" w:hAnsi="宋体" w:eastAsia="宋体" w:cs="Times New Roman"/>
          <w:szCs w:val="21"/>
        </w:rPr>
        <w:t xml:space="preserve">   </w:t>
      </w:r>
      <w:sdt>
        <w:sdtPr>
          <w:rPr>
            <w:rFonts w:ascii="Segoe UI Symbol" w:hAnsi="Segoe UI Symbol" w:eastAsia="宋体" w:cs="Segoe UI Symbol"/>
            <w:szCs w:val="21"/>
          </w:rPr>
          <w:id w:val="147471747"/>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ascii="MS Gothic" w:hAnsi="MS Gothic" w:eastAsia="宋体" w:cs="Segoe UI Symbol"/>
              <w:szCs w:val="21"/>
            </w:rPr>
            <w:t>☐</w:t>
          </w:r>
        </w:sdtContent>
      </w:sdt>
      <w:r>
        <w:rPr>
          <w:rFonts w:hint="eastAsia" w:ascii="宋体" w:hAnsi="宋体" w:eastAsia="宋体" w:cs="Times New Roman"/>
          <w:szCs w:val="21"/>
        </w:rPr>
        <w:t>乙方依据</w:t>
      </w:r>
      <w:r>
        <w:rPr>
          <w:rFonts w:ascii="宋体" w:hAnsi="宋体" w:eastAsia="宋体" w:cs="Times New Roman"/>
          <w:szCs w:val="21"/>
        </w:rPr>
        <w:t>ISO 14064-2:2019、ISO 14064-3:2019、企业核算报告程序及相关文件、法律法规和排放报告采用的区域地方核算标准、核查方案</w:t>
      </w:r>
      <w:r>
        <w:rPr>
          <w:rFonts w:hint="eastAsia" w:ascii="宋体" w:hAnsi="宋体" w:eastAsia="宋体" w:cs="Times New Roman"/>
          <w:szCs w:val="21"/>
          <w:lang w:eastAsia="zh-CN"/>
        </w:rPr>
        <w:t>，</w:t>
      </w:r>
      <w:r>
        <w:rPr>
          <w:rFonts w:hint="eastAsia" w:ascii="宋体" w:hAnsi="宋体" w:eastAsia="宋体" w:cs="Times New Roman"/>
          <w:szCs w:val="21"/>
        </w:rPr>
        <w:t>对申请组织实施</w:t>
      </w:r>
      <w:r>
        <w:rPr>
          <w:rFonts w:ascii="宋体" w:hAnsi="宋体" w:eastAsia="宋体" w:cs="Times New Roman"/>
          <w:szCs w:val="21"/>
        </w:rPr>
        <w:t>项目层次核查</w:t>
      </w:r>
      <w:r>
        <w:rPr>
          <w:rFonts w:hint="eastAsia" w:ascii="宋体" w:hAnsi="宋体" w:eastAsia="宋体" w:cs="Times New Roman"/>
          <w:szCs w:val="21"/>
        </w:rPr>
        <w:t>。</w:t>
      </w:r>
    </w:p>
    <w:p w14:paraId="1652F0B4">
      <w:pPr>
        <w:pStyle w:val="15"/>
        <w:spacing w:line="288" w:lineRule="auto"/>
        <w:ind w:left="442"/>
        <w:jc w:val="left"/>
        <w:rPr>
          <w:rFonts w:hint="eastAsia" w:ascii="宋体" w:hAnsi="宋体" w:eastAsia="宋体" w:cs="Times New Roman"/>
          <w:szCs w:val="21"/>
        </w:rPr>
      </w:pPr>
      <w:r>
        <w:rPr>
          <w:rFonts w:ascii="宋体" w:hAnsi="宋体" w:eastAsia="宋体" w:cs="Times New Roman"/>
          <w:szCs w:val="21"/>
        </w:rPr>
        <w:t xml:space="preserve">   </w:t>
      </w:r>
      <w:sdt>
        <w:sdtPr>
          <w:rPr>
            <w:rFonts w:ascii="Segoe UI Symbol" w:hAnsi="Segoe UI Symbol" w:eastAsia="宋体" w:cs="Segoe UI Symbol"/>
            <w:szCs w:val="21"/>
          </w:rPr>
          <w:id w:val="147454466"/>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ascii="MS Gothic" w:hAnsi="MS Gothic" w:eastAsia="宋体" w:cs="Segoe UI Symbol"/>
              <w:szCs w:val="21"/>
            </w:rPr>
            <w:t>☐</w:t>
          </w:r>
        </w:sdtContent>
      </w:sdt>
      <w:r>
        <w:rPr>
          <w:rFonts w:hint="eastAsia" w:ascii="宋体" w:hAnsi="宋体" w:eastAsia="宋体" w:cs="Times New Roman"/>
          <w:szCs w:val="21"/>
        </w:rPr>
        <w:t>乙方依据</w:t>
      </w:r>
      <w:r>
        <w:rPr>
          <w:rFonts w:ascii="宋体" w:hAnsi="宋体" w:eastAsia="宋体" w:cs="Times New Roman"/>
          <w:szCs w:val="21"/>
        </w:rPr>
        <w:t>ISO 14067:2018、企业核算报告程序及相关文件、法律法规和排放报告采用的区域地方核算标准、核查方案</w:t>
      </w:r>
      <w:r>
        <w:rPr>
          <w:rFonts w:hint="eastAsia" w:ascii="宋体" w:hAnsi="宋体" w:eastAsia="宋体" w:cs="Times New Roman"/>
          <w:szCs w:val="21"/>
        </w:rPr>
        <w:t>，对申请核查组织实施产品碳足迹核查。</w:t>
      </w:r>
    </w:p>
    <w:p w14:paraId="06E8DCF3">
      <w:pPr>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核查范围</w:t>
      </w:r>
      <w:r>
        <w:rPr>
          <w:rFonts w:hint="eastAsia" w:ascii="宋体" w:hAnsi="宋体" w:eastAsia="宋体" w:cs="Times New Roman"/>
          <w:szCs w:val="21"/>
        </w:rPr>
        <w:t>（</w:t>
      </w:r>
      <w:r>
        <w:rPr>
          <w:rFonts w:ascii="宋体" w:hAnsi="宋体" w:eastAsia="宋体" w:cs="Times New Roman"/>
          <w:szCs w:val="21"/>
        </w:rPr>
        <w:t>最终的范围以乙方现场核查后确认的范围为准</w:t>
      </w:r>
      <w:r>
        <w:rPr>
          <w:rFonts w:hint="eastAsia" w:ascii="宋体" w:hAnsi="宋体" w:eastAsia="宋体" w:cs="Times New Roman"/>
          <w:szCs w:val="21"/>
        </w:rPr>
        <w:t>）：</w:t>
      </w:r>
    </w:p>
    <w:p w14:paraId="2E70F932">
      <w:pPr>
        <w:numPr>
          <w:ilvl w:val="255"/>
          <w:numId w:val="0"/>
        </w:numPr>
        <w:spacing w:line="288" w:lineRule="auto"/>
        <w:ind w:left="432"/>
        <w:jc w:val="left"/>
        <w:rPr>
          <w:rFonts w:hint="eastAsia" w:ascii="宋体" w:hAnsi="宋体" w:eastAsia="宋体" w:cs="Times New Roman"/>
          <w:szCs w:val="21"/>
          <w:u w:val="single"/>
        </w:rPr>
      </w:pPr>
    </w:p>
    <w:p w14:paraId="3F14BF5E">
      <w:pPr>
        <w:numPr>
          <w:ilvl w:val="255"/>
          <w:numId w:val="0"/>
        </w:numPr>
        <w:spacing w:line="288" w:lineRule="auto"/>
        <w:ind w:left="432"/>
        <w:jc w:val="left"/>
        <w:rPr>
          <w:rFonts w:hint="eastAsia" w:ascii="宋体" w:hAnsi="宋体" w:eastAsia="宋体" w:cs="Times New Roman"/>
          <w:szCs w:val="21"/>
          <w:u w:val="single"/>
        </w:rPr>
      </w:pPr>
      <w:r>
        <w:rPr>
          <w:rFonts w:hint="eastAsia" w:ascii="宋体" w:hAnsi="宋体" w:eastAsia="宋体" w:cs="Times New Roman"/>
          <w:szCs w:val="21"/>
          <w:u w:val="single"/>
        </w:rPr>
        <w:t xml:space="preserve">                                                                                        </w:t>
      </w:r>
    </w:p>
    <w:p w14:paraId="19FE4893">
      <w:pPr>
        <w:numPr>
          <w:ilvl w:val="255"/>
          <w:numId w:val="0"/>
        </w:numPr>
        <w:spacing w:line="288" w:lineRule="auto"/>
        <w:ind w:left="432"/>
        <w:jc w:val="left"/>
        <w:rPr>
          <w:rFonts w:hint="eastAsia" w:ascii="宋体" w:hAnsi="宋体" w:eastAsia="宋体" w:cs="Times New Roman"/>
          <w:szCs w:val="21"/>
          <w:u w:val="single"/>
        </w:rPr>
      </w:pPr>
    </w:p>
    <w:p w14:paraId="4B32F78F">
      <w:pPr>
        <w:numPr>
          <w:ilvl w:val="255"/>
          <w:numId w:val="0"/>
        </w:numPr>
        <w:spacing w:line="288" w:lineRule="auto"/>
        <w:ind w:left="432"/>
        <w:jc w:val="left"/>
        <w:rPr>
          <w:rFonts w:hint="eastAsia" w:ascii="宋体" w:hAnsi="宋体" w:eastAsia="宋体" w:cs="Times New Roman"/>
          <w:szCs w:val="21"/>
          <w:u w:val="single"/>
        </w:rPr>
      </w:pPr>
      <w:r>
        <w:rPr>
          <w:rFonts w:hint="eastAsia" w:ascii="宋体" w:hAnsi="宋体" w:eastAsia="宋体" w:cs="Times New Roman"/>
          <w:szCs w:val="21"/>
          <w:u w:val="single"/>
        </w:rPr>
        <w:t xml:space="preserve">                                                                                        </w:t>
      </w:r>
    </w:p>
    <w:p w14:paraId="7D4FFFB6">
      <w:pPr>
        <w:numPr>
          <w:ilvl w:val="255"/>
          <w:numId w:val="0"/>
        </w:numPr>
        <w:spacing w:line="288" w:lineRule="auto"/>
        <w:ind w:left="432"/>
        <w:jc w:val="left"/>
        <w:rPr>
          <w:rFonts w:hint="eastAsia" w:ascii="宋体" w:hAnsi="宋体" w:eastAsia="宋体" w:cs="Times New Roman"/>
          <w:szCs w:val="21"/>
          <w:u w:val="single"/>
        </w:rPr>
      </w:pPr>
    </w:p>
    <w:p w14:paraId="0111F65C">
      <w:pPr>
        <w:numPr>
          <w:ilvl w:val="255"/>
          <w:numId w:val="0"/>
        </w:numPr>
        <w:spacing w:line="288" w:lineRule="auto"/>
        <w:ind w:left="432"/>
        <w:jc w:val="left"/>
        <w:rPr>
          <w:rFonts w:hint="eastAsia" w:ascii="宋体" w:hAnsi="宋体" w:eastAsia="宋体" w:cs="Times New Roman"/>
          <w:szCs w:val="21"/>
        </w:rPr>
      </w:pPr>
      <w:r>
        <w:rPr>
          <w:rFonts w:hint="eastAsia" w:ascii="宋体" w:hAnsi="宋体" w:eastAsia="宋体" w:cs="Times New Roman"/>
          <w:szCs w:val="21"/>
          <w:u w:val="single"/>
        </w:rPr>
        <w:t xml:space="preserve">                                                                                        </w:t>
      </w:r>
    </w:p>
    <w:p w14:paraId="2924EA09">
      <w:pPr>
        <w:numPr>
          <w:ilvl w:val="255"/>
          <w:numId w:val="0"/>
        </w:numPr>
        <w:ind w:left="431"/>
        <w:jc w:val="left"/>
        <w:rPr>
          <w:rFonts w:ascii="宋体" w:hAnsi="宋体" w:eastAsia="宋体" w:cs="Times New Roman"/>
          <w:sz w:val="18"/>
          <w:szCs w:val="18"/>
        </w:rPr>
      </w:pPr>
      <w:r>
        <w:rPr>
          <w:rFonts w:hint="eastAsia" w:ascii="宋体" w:hAnsi="宋体" w:eastAsia="宋体" w:cs="Times New Roman"/>
          <w:sz w:val="18"/>
          <w:szCs w:val="18"/>
        </w:rPr>
        <w:t>范围示例：组织按照运营控制权法/股权比例法确定的位于XX省XX市XXX的XXXXX公司从事XXXX的生产/制造、销售的所有设施于XXXX年度/时间段所产生的GHG排放和清除量。 温室气体类别：类别X-类别X 温室气体种类：X</w:t>
      </w:r>
    </w:p>
    <w:p w14:paraId="72CE2D4F">
      <w:pPr>
        <w:pStyle w:val="15"/>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3、保证等级：</w:t>
      </w:r>
      <w:sdt>
        <w:sdtPr>
          <w:rPr>
            <w:rFonts w:ascii="宋体" w:hAnsi="宋体" w:eastAsia="宋体" w:cs="Times New Roman"/>
            <w:szCs w:val="21"/>
          </w:rPr>
          <w:id w:val="-1387333454"/>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合理保证等级</w:t>
      </w:r>
      <w:r>
        <w:rPr>
          <w:rFonts w:hint="eastAsia" w:ascii="宋体" w:hAnsi="宋体" w:eastAsia="宋体" w:cs="Times New Roman"/>
          <w:szCs w:val="21"/>
          <w:lang w:val="en-US" w:eastAsia="zh-CN"/>
        </w:rPr>
        <w:t xml:space="preserve"> </w:t>
      </w:r>
      <w:sdt>
        <w:sdtPr>
          <w:rPr>
            <w:rFonts w:ascii="宋体" w:hAnsi="宋体" w:eastAsia="宋体" w:cs="Times New Roman"/>
            <w:szCs w:val="21"/>
          </w:rPr>
          <w:id w:val="1534925171"/>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有限保证等级</w:t>
      </w:r>
    </w:p>
    <w:p w14:paraId="6AAD31FF">
      <w:pPr>
        <w:pStyle w:val="15"/>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4、实质性阈值：</w:t>
      </w:r>
      <w:sdt>
        <w:sdtPr>
          <w:rPr>
            <w:rFonts w:ascii="宋体" w:hAnsi="宋体" w:eastAsia="宋体" w:cs="Times New Roman"/>
            <w:szCs w:val="21"/>
          </w:rPr>
          <w:id w:val="-2087064516"/>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5%</w:t>
      </w:r>
      <w:r>
        <w:rPr>
          <w:rFonts w:hint="eastAsia" w:ascii="宋体" w:hAnsi="宋体" w:eastAsia="宋体" w:cs="Times New Roman"/>
          <w:szCs w:val="21"/>
          <w:lang w:val="en-US" w:eastAsia="zh-CN"/>
        </w:rPr>
        <w:t xml:space="preserve"> </w:t>
      </w:r>
      <w:sdt>
        <w:sdtPr>
          <w:rPr>
            <w:rFonts w:ascii="宋体" w:hAnsi="宋体" w:eastAsia="宋体" w:cs="Times New Roman"/>
            <w:szCs w:val="21"/>
          </w:rPr>
          <w:id w:val="819011705"/>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sdt>
        <w:sdtPr>
          <w:rPr>
            <w:rFonts w:ascii="宋体" w:hAnsi="宋体" w:eastAsia="宋体" w:cs="Times New Roman"/>
            <w:szCs w:val="21"/>
          </w:rPr>
          <w:id w:val="86279763"/>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未提供</w:t>
      </w:r>
      <w:r>
        <w:rPr>
          <w:rFonts w:hint="eastAsia" w:ascii="宋体" w:hAnsi="宋体" w:eastAsia="宋体" w:cs="Times New Roman"/>
          <w:szCs w:val="21"/>
          <w:lang w:val="en-US" w:eastAsia="zh-CN"/>
        </w:rPr>
        <w:t xml:space="preserve"> </w:t>
      </w:r>
      <w:sdt>
        <w:sdtPr>
          <w:rPr>
            <w:rFonts w:ascii="宋体" w:hAnsi="宋体" w:eastAsia="宋体" w:cs="Times New Roman"/>
            <w:szCs w:val="21"/>
          </w:rPr>
          <w:id w:val="2019193275"/>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 xml:space="preserve">其他 </w:t>
      </w:r>
    </w:p>
    <w:p w14:paraId="177393B2">
      <w:pPr>
        <w:pStyle w:val="15"/>
        <w:spacing w:line="288" w:lineRule="auto"/>
        <w:ind w:left="442"/>
        <w:jc w:val="left"/>
        <w:rPr>
          <w:rFonts w:hint="eastAsia" w:ascii="宋体" w:hAnsi="宋体" w:eastAsia="宋体" w:cs="Times New Roman"/>
          <w:szCs w:val="21"/>
          <w:lang w:val="en-US" w:eastAsia="zh-CN"/>
        </w:rPr>
      </w:pPr>
      <w:r>
        <w:rPr>
          <w:rFonts w:hint="eastAsia" w:ascii="宋体" w:hAnsi="宋体" w:eastAsia="宋体" w:cs="Times New Roman"/>
          <w:szCs w:val="21"/>
        </w:rPr>
        <w:t>5、核查时长估算：</w:t>
      </w:r>
      <w:bookmarkStart w:id="1" w:name="_GoBack"/>
      <w:bookmarkEnd w:id="1"/>
      <w:r>
        <w:rPr>
          <w:rFonts w:hint="eastAsia" w:ascii="宋体" w:hAnsi="宋体" w:eastAsia="宋体" w:cs="Times New Roman"/>
          <w:szCs w:val="21"/>
        </w:rPr>
        <w:t>人日</w:t>
      </w:r>
      <w:r>
        <w:rPr>
          <w:rFonts w:hint="eastAsia" w:ascii="宋体" w:hAnsi="宋体" w:eastAsia="宋体" w:cs="Times New Roman"/>
          <w:szCs w:val="21"/>
          <w:lang w:val="en-US" w:eastAsia="zh-CN"/>
        </w:rPr>
        <w:t>标准参照TP0901《组织GHG 声明核查实施程序》</w:t>
      </w:r>
    </w:p>
    <w:p w14:paraId="63F64CA9">
      <w:pPr>
        <w:pStyle w:val="15"/>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6、目的：确认申请组织提供的温室气体排放及其支持文件是否完整可信；依据准则，对申请组织的记录和存储的GHG数据进行评审，确认GHG数据及计算结果是否真实、可靠、正确；基于足够和适宜的证据，出具核查报告、核查陈述。</w:t>
      </w:r>
    </w:p>
    <w:p w14:paraId="2C89D2E0">
      <w:pPr>
        <w:pStyle w:val="15"/>
        <w:spacing w:line="288" w:lineRule="auto"/>
        <w:ind w:left="442"/>
        <w:jc w:val="left"/>
        <w:rPr>
          <w:rFonts w:hint="eastAsia" w:ascii="宋体" w:hAnsi="宋体" w:eastAsia="宋体" w:cs="Times New Roman"/>
          <w:szCs w:val="21"/>
        </w:rPr>
      </w:pPr>
      <w:r>
        <w:rPr>
          <w:rFonts w:hint="eastAsia" w:ascii="宋体" w:hAnsi="宋体" w:eastAsia="宋体" w:cs="Times New Roman"/>
          <w:szCs w:val="21"/>
        </w:rPr>
        <w:t>7、产品碳足迹生命周期系统边界为：</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3D55E1D3">
      <w:pPr>
        <w:numPr>
          <w:ilvl w:val="0"/>
          <w:numId w:val="1"/>
        </w:numPr>
        <w:spacing w:before="156" w:beforeLines="50" w:after="156" w:afterLines="50" w:line="288" w:lineRule="auto"/>
        <w:ind w:left="442" w:hanging="442"/>
        <w:rPr>
          <w:rFonts w:hint="eastAsia" w:ascii="宋体" w:hAnsi="宋体" w:eastAsia="宋体" w:cs="Times New Roman"/>
          <w:szCs w:val="21"/>
        </w:rPr>
      </w:pPr>
      <w:r>
        <w:rPr>
          <w:rFonts w:ascii="宋体" w:hAnsi="宋体" w:eastAsia="宋体" w:cs="Times New Roman"/>
          <w:szCs w:val="21"/>
        </w:rPr>
        <w:t>费用</w:t>
      </w:r>
    </w:p>
    <w:p w14:paraId="22C5320C">
      <w:pPr>
        <w:pStyle w:val="15"/>
        <w:numPr>
          <w:ilvl w:val="1"/>
          <w:numId w:val="2"/>
        </w:numPr>
        <w:spacing w:after="156" w:afterLines="50" w:line="288" w:lineRule="auto"/>
        <w:ind w:left="420" w:leftChars="200"/>
        <w:rPr>
          <w:rFonts w:hint="eastAsia" w:ascii="宋体" w:hAnsi="宋体" w:eastAsia="宋体" w:cs="Times New Roman"/>
          <w:szCs w:val="21"/>
        </w:rPr>
      </w:pPr>
      <w:r>
        <w:rPr>
          <w:rFonts w:hint="eastAsia" w:ascii="宋体" w:hAnsi="宋体" w:eastAsia="宋体" w:cs="Times New Roman"/>
          <w:szCs w:val="21"/>
        </w:rPr>
        <w:t>乙方收款账户信息：</w:t>
      </w:r>
    </w:p>
    <w:p w14:paraId="021DBA66">
      <w:pPr>
        <w:pStyle w:val="15"/>
        <w:spacing w:after="156" w:afterLines="50" w:line="288" w:lineRule="auto"/>
        <w:ind w:left="630" w:leftChars="300"/>
        <w:rPr>
          <w:rFonts w:hint="eastAsia" w:ascii="宋体" w:hAnsi="宋体" w:eastAsia="宋体" w:cs="Times New Roman"/>
          <w:szCs w:val="21"/>
        </w:rPr>
      </w:pPr>
      <w:r>
        <w:rPr>
          <w:rFonts w:hint="eastAsia" w:ascii="宋体" w:hAnsi="宋体" w:eastAsia="宋体" w:cs="Times New Roman"/>
          <w:szCs w:val="21"/>
        </w:rPr>
        <w:t>开 户 行：上海浦东发展银行北京电子城支行</w:t>
      </w:r>
    </w:p>
    <w:p w14:paraId="49848BD5">
      <w:pPr>
        <w:pStyle w:val="15"/>
        <w:spacing w:after="156" w:afterLines="50" w:line="288" w:lineRule="auto"/>
        <w:ind w:left="630" w:leftChars="300"/>
        <w:rPr>
          <w:rFonts w:hint="eastAsia" w:ascii="宋体" w:hAnsi="宋体" w:eastAsia="宋体" w:cs="Times New Roman"/>
          <w:szCs w:val="21"/>
        </w:rPr>
      </w:pPr>
      <w:r>
        <w:rPr>
          <w:rFonts w:hint="eastAsia" w:ascii="宋体" w:hAnsi="宋体" w:eastAsia="宋体" w:cs="Times New Roman"/>
          <w:szCs w:val="21"/>
        </w:rPr>
        <w:t>户    名：北京新纪源认证有限公司</w:t>
      </w:r>
    </w:p>
    <w:p w14:paraId="7CF54DBC">
      <w:pPr>
        <w:pStyle w:val="15"/>
        <w:spacing w:after="156" w:afterLines="50" w:line="288" w:lineRule="auto"/>
        <w:ind w:left="630" w:leftChars="300"/>
        <w:rPr>
          <w:rFonts w:hint="eastAsia" w:ascii="宋体" w:hAnsi="宋体" w:eastAsia="宋体" w:cs="Times New Roman"/>
          <w:szCs w:val="21"/>
        </w:rPr>
      </w:pPr>
      <w:r>
        <w:rPr>
          <w:rFonts w:hint="eastAsia" w:ascii="宋体" w:hAnsi="宋体" w:eastAsia="宋体" w:cs="Times New Roman"/>
          <w:szCs w:val="21"/>
        </w:rPr>
        <w:t>账    号：91200154800129393</w:t>
      </w:r>
    </w:p>
    <w:p w14:paraId="69B41098">
      <w:pPr>
        <w:pStyle w:val="15"/>
        <w:spacing w:after="156" w:afterLines="50" w:line="288" w:lineRule="auto"/>
        <w:ind w:left="630" w:leftChars="300"/>
        <w:rPr>
          <w:rFonts w:hint="eastAsia" w:ascii="宋体" w:hAnsi="宋体" w:eastAsia="宋体" w:cs="Times New Roman"/>
          <w:szCs w:val="21"/>
        </w:rPr>
      </w:pPr>
      <w:r>
        <w:rPr>
          <w:rFonts w:hint="eastAsia" w:ascii="宋体" w:hAnsi="宋体" w:eastAsia="宋体" w:cs="Times New Roman"/>
          <w:szCs w:val="21"/>
        </w:rPr>
        <w:t>银行行号：310100000190</w:t>
      </w:r>
    </w:p>
    <w:p w14:paraId="3BED7541">
      <w:pPr>
        <w:pStyle w:val="15"/>
        <w:spacing w:after="156" w:afterLines="50" w:line="288" w:lineRule="auto"/>
        <w:ind w:left="630" w:leftChars="300"/>
        <w:rPr>
          <w:rFonts w:hint="eastAsia" w:ascii="宋体" w:hAnsi="宋体" w:eastAsia="宋体" w:cs="Times New Roman"/>
          <w:szCs w:val="21"/>
        </w:rPr>
      </w:pPr>
      <w:r>
        <w:rPr>
          <w:rFonts w:hint="eastAsia" w:ascii="宋体" w:hAnsi="宋体" w:eastAsia="宋体" w:cs="Times New Roman"/>
          <w:szCs w:val="21"/>
        </w:rPr>
        <w:t>地    址：北京市朝阳区南湖东园122号博泰国际B座805</w:t>
      </w:r>
    </w:p>
    <w:p w14:paraId="1FB816E2">
      <w:pPr>
        <w:pStyle w:val="15"/>
        <w:numPr>
          <w:ilvl w:val="1"/>
          <w:numId w:val="2"/>
        </w:numPr>
        <w:spacing w:after="156" w:afterLines="50" w:line="288" w:lineRule="auto"/>
        <w:ind w:left="420" w:leftChars="200"/>
        <w:rPr>
          <w:rFonts w:hint="eastAsia" w:ascii="宋体" w:hAnsi="宋体" w:eastAsia="宋体" w:cs="Times New Roman"/>
          <w:szCs w:val="21"/>
        </w:rPr>
      </w:pPr>
      <w:r>
        <w:rPr>
          <w:rFonts w:ascii="宋体" w:hAnsi="宋体" w:eastAsia="宋体" w:cs="Times New Roman"/>
          <w:szCs w:val="21"/>
        </w:rPr>
        <w:t>甲方应向乙方交纳</w:t>
      </w:r>
      <w:r>
        <w:rPr>
          <w:rFonts w:hint="eastAsia" w:ascii="宋体" w:hAnsi="宋体" w:eastAsia="宋体" w:cs="Times New Roman"/>
          <w:szCs w:val="21"/>
        </w:rPr>
        <w:t>以下费用</w:t>
      </w:r>
      <w:r>
        <w:rPr>
          <w:rFonts w:ascii="宋体" w:hAnsi="宋体" w:eastAsia="宋体" w:cs="Times New Roman"/>
          <w:szCs w:val="21"/>
        </w:rPr>
        <w:t>：</w:t>
      </w:r>
    </w:p>
    <w:p w14:paraId="74528E87">
      <w:pPr>
        <w:spacing w:after="156" w:afterLines="50" w:line="288" w:lineRule="auto"/>
        <w:ind w:left="630" w:leftChars="300" w:firstLine="420" w:firstLineChars="200"/>
        <w:rPr>
          <w:rFonts w:hint="eastAsia" w:ascii="宋体" w:hAnsi="宋体" w:eastAsia="宋体" w:cs="Times New Roman"/>
          <w:szCs w:val="21"/>
        </w:rPr>
      </w:pPr>
      <w:sdt>
        <w:sdtPr>
          <w:rPr>
            <w:rFonts w:ascii="宋体" w:hAnsi="宋体" w:eastAsia="宋体" w:cs="Times New Roman"/>
            <w:szCs w:val="21"/>
          </w:rPr>
          <w:id w:val="-662086060"/>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ascii="宋体" w:hAnsi="宋体" w:eastAsia="宋体" w:cs="Times New Roman"/>
          <w:szCs w:val="21"/>
        </w:rPr>
        <w:t xml:space="preserve">组织层次核查费：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元；</w:t>
      </w:r>
    </w:p>
    <w:p w14:paraId="1E32B440">
      <w:pPr>
        <w:spacing w:after="156" w:afterLines="50" w:line="288" w:lineRule="auto"/>
        <w:ind w:left="630" w:leftChars="300" w:firstLine="420" w:firstLineChars="200"/>
        <w:rPr>
          <w:rFonts w:hint="eastAsia" w:ascii="宋体" w:hAnsi="宋体" w:eastAsia="宋体" w:cs="Times New Roman"/>
          <w:szCs w:val="21"/>
        </w:rPr>
      </w:pPr>
      <w:sdt>
        <w:sdtPr>
          <w:rPr>
            <w:rFonts w:ascii="宋体" w:hAnsi="宋体" w:eastAsia="宋体" w:cs="Times New Roman"/>
            <w:szCs w:val="21"/>
          </w:rPr>
          <w:id w:val="158965640"/>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hint="eastAsia" w:ascii="MS Gothic" w:hAnsi="MS Gothic" w:eastAsia="MS Gothic" w:cs="Times New Roman"/>
              <w:szCs w:val="21"/>
            </w:rPr>
            <w:t>☐</w:t>
          </w:r>
        </w:sdtContent>
      </w:sdt>
      <w:r>
        <w:rPr>
          <w:rFonts w:ascii="宋体" w:hAnsi="宋体" w:eastAsia="宋体" w:cs="Times New Roman"/>
          <w:szCs w:val="21"/>
        </w:rPr>
        <w:t xml:space="preserve">项目层次核查费： </w:t>
      </w:r>
      <w:r>
        <w:rPr>
          <w:rFonts w:ascii="宋体" w:hAnsi="宋体" w:eastAsia="宋体" w:cs="Times New Roman"/>
          <w:szCs w:val="21"/>
          <w:u w:val="single"/>
        </w:rPr>
        <w:t xml:space="preserve">          </w:t>
      </w:r>
      <w:r>
        <w:rPr>
          <w:rFonts w:ascii="宋体" w:hAnsi="宋体" w:eastAsia="宋体" w:cs="Times New Roman"/>
          <w:szCs w:val="21"/>
        </w:rPr>
        <w:t xml:space="preserve"> 元</w:t>
      </w:r>
      <w:r>
        <w:rPr>
          <w:rFonts w:hint="eastAsia" w:ascii="宋体" w:hAnsi="宋体" w:eastAsia="宋体" w:cs="Times New Roman"/>
          <w:szCs w:val="21"/>
        </w:rPr>
        <w:t>；</w:t>
      </w:r>
    </w:p>
    <w:p w14:paraId="1A39C19C">
      <w:pPr>
        <w:spacing w:after="156" w:afterLines="50" w:line="288" w:lineRule="auto"/>
        <w:ind w:left="630" w:leftChars="300" w:firstLine="420" w:firstLineChars="200"/>
        <w:rPr>
          <w:rFonts w:hint="eastAsia" w:ascii="宋体" w:hAnsi="宋体" w:eastAsia="宋体" w:cs="Times New Roman"/>
          <w:szCs w:val="21"/>
        </w:rPr>
      </w:pPr>
      <w:sdt>
        <w:sdtPr>
          <w:rPr>
            <w:rFonts w:ascii="宋体" w:hAnsi="宋体" w:eastAsia="宋体" w:cs="Times New Roman"/>
            <w:szCs w:val="21"/>
          </w:rPr>
          <w:id w:val="-1929656266"/>
          <w14:checkbox>
            <w14:checked w14:val="0"/>
            <w14:checkedState w14:val="0052" w14:font="Wingdings 2"/>
            <w14:uncheckedState w14:val="2610" w14:font="MS Gothic"/>
          </w14:checkbox>
        </w:sdtPr>
        <w:sdtEndPr>
          <w:rPr>
            <w:rFonts w:ascii="宋体" w:hAnsi="宋体" w:eastAsia="宋体" w:cs="Times New Roman"/>
            <w:szCs w:val="21"/>
          </w:rPr>
        </w:sdtEndPr>
        <w:sdtContent>
          <w:r>
            <w:rPr>
              <w:rFonts w:ascii="Segoe UI Symbol" w:hAnsi="Segoe UI Symbol" w:eastAsia="宋体" w:cs="Segoe UI Symbol"/>
              <w:szCs w:val="21"/>
            </w:rPr>
            <w:t>☐</w:t>
          </w:r>
        </w:sdtContent>
      </w:sdt>
      <w:r>
        <w:rPr>
          <w:rFonts w:hint="eastAsia" w:ascii="宋体" w:hAnsi="宋体" w:eastAsia="宋体" w:cs="Times New Roman"/>
          <w:szCs w:val="21"/>
        </w:rPr>
        <w:t>产品碳足迹核查费</w:t>
      </w:r>
      <w:r>
        <w:rPr>
          <w:rFonts w:ascii="宋体" w:hAnsi="宋体" w:eastAsia="宋体" w:cs="Times New Roman"/>
          <w:szCs w:val="21"/>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元 </w:t>
      </w:r>
    </w:p>
    <w:p w14:paraId="34C546A7">
      <w:pPr>
        <w:pStyle w:val="15"/>
        <w:numPr>
          <w:ilvl w:val="1"/>
          <w:numId w:val="2"/>
        </w:numPr>
        <w:spacing w:after="156" w:afterLines="50" w:line="288" w:lineRule="auto"/>
        <w:ind w:left="420" w:leftChars="200"/>
        <w:rPr>
          <w:rFonts w:hint="eastAsia" w:ascii="宋体" w:hAnsi="宋体" w:eastAsia="宋体" w:cs="Times New Roman"/>
          <w:szCs w:val="21"/>
        </w:rPr>
      </w:pPr>
      <w:r>
        <w:rPr>
          <w:rFonts w:ascii="宋体" w:hAnsi="宋体" w:eastAsia="宋体" w:cs="Times New Roman"/>
          <w:szCs w:val="21"/>
        </w:rPr>
        <w:t>由于甲方的需要或原因，需增加现场访问时，增加的费用由甲方按3000 元/人日，另行支付；</w:t>
      </w:r>
    </w:p>
    <w:p w14:paraId="0F344B5D">
      <w:pPr>
        <w:pStyle w:val="15"/>
        <w:numPr>
          <w:ilvl w:val="1"/>
          <w:numId w:val="2"/>
        </w:numPr>
        <w:spacing w:after="156" w:afterLines="50" w:line="288" w:lineRule="auto"/>
        <w:ind w:left="420" w:leftChars="200"/>
        <w:rPr>
          <w:rFonts w:hint="eastAsia" w:ascii="宋体" w:hAnsi="宋体" w:eastAsia="宋体" w:cs="Times New Roman"/>
          <w:szCs w:val="21"/>
        </w:rPr>
      </w:pPr>
      <w:r>
        <w:rPr>
          <w:rFonts w:ascii="宋体" w:hAnsi="宋体" w:eastAsia="宋体" w:cs="Times New Roman"/>
          <w:szCs w:val="21"/>
        </w:rPr>
        <w:t>乙方核查员执行现场访问时所发生的交通及食宿费用实际发生额由甲方</w:t>
      </w:r>
      <w:r>
        <w:rPr>
          <w:rFonts w:hint="eastAsia" w:ascii="宋体" w:hAnsi="宋体" w:eastAsia="宋体" w:cs="Times New Roman"/>
          <w:szCs w:val="21"/>
        </w:rPr>
        <w:t>承担</w:t>
      </w:r>
      <w:r>
        <w:rPr>
          <w:rFonts w:ascii="宋体" w:hAnsi="宋体" w:eastAsia="宋体" w:cs="Times New Roman"/>
          <w:szCs w:val="21"/>
        </w:rPr>
        <w:t>。</w:t>
      </w:r>
    </w:p>
    <w:p w14:paraId="643BE854">
      <w:pPr>
        <w:pStyle w:val="15"/>
        <w:numPr>
          <w:ilvl w:val="1"/>
          <w:numId w:val="2"/>
        </w:numPr>
        <w:spacing w:after="156" w:afterLines="50" w:line="288" w:lineRule="auto"/>
        <w:ind w:left="420" w:leftChars="200"/>
        <w:rPr>
          <w:rFonts w:hint="eastAsia" w:ascii="宋体" w:hAnsi="宋体" w:eastAsia="宋体" w:cs="Times New Roman"/>
          <w:szCs w:val="21"/>
        </w:rPr>
      </w:pPr>
      <w:r>
        <w:rPr>
          <w:rFonts w:hint="eastAsia" w:ascii="宋体" w:hAnsi="宋体" w:eastAsia="宋体" w:cs="Times New Roman"/>
          <w:szCs w:val="21"/>
        </w:rPr>
        <w:t>核查</w:t>
      </w:r>
      <w:r>
        <w:rPr>
          <w:rFonts w:ascii="宋体" w:hAnsi="宋体" w:eastAsia="宋体" w:cs="Times New Roman"/>
          <w:szCs w:val="21"/>
        </w:rPr>
        <w:t>费用甲方应在正式核查前支付给乙方。如有特殊问题，双方协商解决。</w:t>
      </w:r>
    </w:p>
    <w:p w14:paraId="694CCB89">
      <w:pPr>
        <w:numPr>
          <w:ilvl w:val="0"/>
          <w:numId w:val="1"/>
        </w:numPr>
        <w:spacing w:after="156" w:afterLines="50" w:line="288" w:lineRule="auto"/>
        <w:rPr>
          <w:rFonts w:hint="eastAsia" w:ascii="宋体" w:hAnsi="宋体" w:eastAsia="宋体" w:cs="Times New Roman"/>
          <w:szCs w:val="21"/>
        </w:rPr>
      </w:pPr>
      <w:r>
        <w:rPr>
          <w:rFonts w:ascii="宋体" w:hAnsi="宋体" w:eastAsia="宋体" w:cs="Times New Roman"/>
          <w:szCs w:val="21"/>
        </w:rPr>
        <w:t>甲方责任和权利</w:t>
      </w:r>
    </w:p>
    <w:p w14:paraId="42292BA0">
      <w:pPr>
        <w:pStyle w:val="15"/>
        <w:numPr>
          <w:ilvl w:val="0"/>
          <w:numId w:val="3"/>
        </w:numPr>
        <w:spacing w:after="156" w:afterLines="50" w:line="288" w:lineRule="auto"/>
        <w:rPr>
          <w:rFonts w:hint="eastAsia" w:ascii="宋体" w:hAnsi="宋体" w:eastAsia="宋体" w:cs="Times New Roman"/>
          <w:szCs w:val="21"/>
        </w:rPr>
      </w:pPr>
      <w:r>
        <w:rPr>
          <w:rFonts w:ascii="宋体" w:hAnsi="宋体" w:eastAsia="宋体" w:cs="Times New Roman"/>
          <w:szCs w:val="21"/>
        </w:rPr>
        <w:t>向乙方提供《温室气体核查申请书》，并保证所提供资料的真实性和完整性。</w:t>
      </w:r>
    </w:p>
    <w:p w14:paraId="407B5F55">
      <w:pPr>
        <w:pStyle w:val="15"/>
        <w:numPr>
          <w:ilvl w:val="0"/>
          <w:numId w:val="3"/>
        </w:numPr>
        <w:spacing w:after="156" w:afterLines="50" w:line="288" w:lineRule="auto"/>
        <w:rPr>
          <w:rFonts w:hint="eastAsia" w:ascii="宋体" w:hAnsi="宋体" w:eastAsia="宋体" w:cs="Times New Roman"/>
          <w:szCs w:val="21"/>
        </w:rPr>
      </w:pPr>
      <w:r>
        <w:rPr>
          <w:rFonts w:ascii="宋体" w:hAnsi="宋体" w:eastAsia="宋体" w:cs="Times New Roman"/>
          <w:szCs w:val="21"/>
        </w:rPr>
        <w:t>确保乙方核查工作不受限制的接触任何与GHG核查有关的文件、记录和所需的其他信息，并确保甲方向乙方提供GHG核查有关的文件、记录、数据等是有效和完整的，是真实和客观的。</w:t>
      </w:r>
    </w:p>
    <w:p w14:paraId="58052149">
      <w:pPr>
        <w:pStyle w:val="15"/>
        <w:numPr>
          <w:ilvl w:val="0"/>
          <w:numId w:val="3"/>
        </w:numPr>
        <w:spacing w:after="156" w:afterLines="50" w:line="288" w:lineRule="auto"/>
        <w:rPr>
          <w:rFonts w:hint="eastAsia" w:ascii="宋体" w:hAnsi="宋体" w:eastAsia="宋体" w:cs="Times New Roman"/>
          <w:szCs w:val="21"/>
        </w:rPr>
      </w:pPr>
      <w:r>
        <w:rPr>
          <w:rFonts w:ascii="宋体" w:hAnsi="宋体" w:eastAsia="宋体" w:cs="Times New Roman"/>
          <w:szCs w:val="21"/>
        </w:rPr>
        <w:t>为乙方核查组进入相关区域、调阅文件记录、安排被访问人员等提供必要的条件。</w:t>
      </w:r>
    </w:p>
    <w:p w14:paraId="57DACC74">
      <w:pPr>
        <w:pStyle w:val="15"/>
        <w:numPr>
          <w:ilvl w:val="0"/>
          <w:numId w:val="3"/>
        </w:numPr>
        <w:spacing w:after="156" w:afterLines="50" w:line="288" w:lineRule="auto"/>
        <w:rPr>
          <w:rFonts w:hint="eastAsia" w:ascii="宋体" w:hAnsi="宋体" w:eastAsia="宋体" w:cs="Times New Roman"/>
          <w:szCs w:val="21"/>
        </w:rPr>
      </w:pPr>
      <w:r>
        <w:rPr>
          <w:rFonts w:ascii="宋体" w:hAnsi="宋体" w:eastAsia="宋体" w:cs="Times New Roman"/>
          <w:szCs w:val="21"/>
        </w:rPr>
        <w:t>按时向乙方交付本合同规定的费用。</w:t>
      </w:r>
    </w:p>
    <w:p w14:paraId="7FE25D4C">
      <w:pPr>
        <w:pStyle w:val="15"/>
        <w:numPr>
          <w:ilvl w:val="0"/>
          <w:numId w:val="3"/>
        </w:numPr>
        <w:spacing w:after="156" w:afterLines="50" w:line="288" w:lineRule="auto"/>
        <w:rPr>
          <w:rFonts w:hint="eastAsia" w:ascii="宋体" w:hAnsi="宋体" w:eastAsia="宋体" w:cs="Times New Roman"/>
          <w:szCs w:val="21"/>
        </w:rPr>
      </w:pPr>
      <w:r>
        <w:rPr>
          <w:rFonts w:hint="eastAsia" w:ascii="宋体" w:hAnsi="宋体" w:eastAsia="宋体" w:cs="Times New Roman"/>
          <w:szCs w:val="21"/>
        </w:rPr>
        <w:t>接受乙方的认可机构等安排的见证评审等，并在核查中给予必要的配合。</w:t>
      </w:r>
    </w:p>
    <w:p w14:paraId="2A2220AD">
      <w:pPr>
        <w:pStyle w:val="15"/>
        <w:numPr>
          <w:ilvl w:val="0"/>
          <w:numId w:val="3"/>
        </w:numPr>
        <w:adjustRightInd w:val="0"/>
        <w:snapToGrid w:val="0"/>
        <w:spacing w:after="156" w:afterLines="50" w:line="288" w:lineRule="auto"/>
        <w:rPr>
          <w:rFonts w:hint="eastAsia" w:ascii="宋体" w:hAnsi="宋体" w:eastAsia="宋体" w:cs="Times New Roman"/>
          <w:szCs w:val="21"/>
        </w:rPr>
      </w:pPr>
      <w:r>
        <w:rPr>
          <w:rFonts w:ascii="宋体" w:hAnsi="宋体" w:eastAsia="宋体" w:cs="Times New Roman"/>
          <w:szCs w:val="21"/>
        </w:rPr>
        <w:t>甲方有权对乙方在核查服务过程中违规或损害公正性等行为提出诉讼或投诉。</w:t>
      </w:r>
    </w:p>
    <w:p w14:paraId="7A4C4E42">
      <w:pPr>
        <w:pStyle w:val="15"/>
        <w:numPr>
          <w:ilvl w:val="0"/>
          <w:numId w:val="3"/>
        </w:numPr>
        <w:adjustRightInd w:val="0"/>
        <w:snapToGrid w:val="0"/>
        <w:spacing w:after="156" w:afterLines="50" w:line="288" w:lineRule="auto"/>
        <w:rPr>
          <w:rFonts w:hint="eastAsia" w:ascii="宋体" w:hAnsi="宋体" w:eastAsia="宋体" w:cs="Times New Roman"/>
          <w:szCs w:val="21"/>
        </w:rPr>
      </w:pPr>
      <w:r>
        <w:rPr>
          <w:rFonts w:ascii="宋体" w:hAnsi="宋体" w:eastAsia="宋体" w:cs="Times New Roman"/>
          <w:szCs w:val="21"/>
        </w:rPr>
        <w:t>对核查涉及的信息应按照中国有关法规或规定予以妥善保管（注：信息保密管理）。</w:t>
      </w:r>
    </w:p>
    <w:p w14:paraId="5C6329C5">
      <w:pPr>
        <w:numPr>
          <w:ilvl w:val="0"/>
          <w:numId w:val="1"/>
        </w:numPr>
        <w:spacing w:after="156" w:afterLines="50" w:line="288" w:lineRule="auto"/>
        <w:rPr>
          <w:rFonts w:hint="eastAsia" w:ascii="宋体" w:hAnsi="宋体" w:eastAsia="宋体" w:cs="Times New Roman"/>
          <w:szCs w:val="21"/>
        </w:rPr>
      </w:pPr>
      <w:r>
        <w:rPr>
          <w:rFonts w:ascii="宋体" w:hAnsi="宋体" w:eastAsia="宋体" w:cs="Times New Roman"/>
          <w:szCs w:val="21"/>
        </w:rPr>
        <w:t>乙方责任和权利</w:t>
      </w:r>
    </w:p>
    <w:p w14:paraId="634644B4">
      <w:pPr>
        <w:pStyle w:val="15"/>
        <w:numPr>
          <w:ilvl w:val="0"/>
          <w:numId w:val="4"/>
        </w:numPr>
        <w:spacing w:after="156" w:afterLines="50" w:line="288" w:lineRule="auto"/>
        <w:rPr>
          <w:rFonts w:hint="eastAsia" w:ascii="宋体" w:hAnsi="宋体" w:eastAsia="宋体" w:cs="Times New Roman"/>
          <w:szCs w:val="21"/>
        </w:rPr>
      </w:pPr>
      <w:r>
        <w:rPr>
          <w:rFonts w:ascii="宋体" w:hAnsi="宋体" w:eastAsia="宋体" w:cs="Times New Roman"/>
          <w:szCs w:val="21"/>
        </w:rPr>
        <w:t>乙方按时组织实施核查工作，并提前将核查计划提交甲方确认。</w:t>
      </w:r>
    </w:p>
    <w:p w14:paraId="19C69AF0">
      <w:pPr>
        <w:pStyle w:val="15"/>
        <w:numPr>
          <w:ilvl w:val="0"/>
          <w:numId w:val="4"/>
        </w:numPr>
        <w:spacing w:after="156" w:afterLines="50" w:line="288" w:lineRule="auto"/>
        <w:rPr>
          <w:rFonts w:hint="eastAsia" w:ascii="宋体" w:hAnsi="宋体" w:eastAsia="宋体" w:cs="Times New Roman"/>
          <w:szCs w:val="21"/>
        </w:rPr>
      </w:pPr>
      <w:r>
        <w:rPr>
          <w:rFonts w:ascii="宋体" w:hAnsi="宋体" w:eastAsia="宋体" w:cs="Times New Roman"/>
          <w:szCs w:val="21"/>
        </w:rPr>
        <w:t>乙方按相关规定配备核查组，并征得甲方同意。</w:t>
      </w:r>
    </w:p>
    <w:p w14:paraId="7332B217">
      <w:pPr>
        <w:pStyle w:val="15"/>
        <w:numPr>
          <w:ilvl w:val="0"/>
          <w:numId w:val="4"/>
        </w:numPr>
        <w:spacing w:after="156" w:afterLines="50" w:line="288" w:lineRule="auto"/>
        <w:rPr>
          <w:rFonts w:hint="eastAsia" w:ascii="宋体" w:hAnsi="宋体" w:eastAsia="宋体" w:cs="Times New Roman"/>
          <w:szCs w:val="21"/>
        </w:rPr>
      </w:pPr>
      <w:r>
        <w:rPr>
          <w:rFonts w:ascii="宋体" w:hAnsi="宋体" w:eastAsia="宋体" w:cs="Times New Roman"/>
          <w:szCs w:val="21"/>
        </w:rPr>
        <w:t>乙方按约定的准则，公正、客观、科学的实施核查活动，获取充分、适当的证据，为甲方提供的 GHG陈述不存在重大的错误、遗漏</w:t>
      </w:r>
      <w:r>
        <w:rPr>
          <w:rFonts w:hint="eastAsia" w:ascii="宋体" w:hAnsi="宋体" w:eastAsia="宋体" w:cs="Times New Roman"/>
          <w:szCs w:val="21"/>
        </w:rPr>
        <w:t>做出</w:t>
      </w:r>
      <w:r>
        <w:rPr>
          <w:rFonts w:ascii="宋体" w:hAnsi="宋体" w:eastAsia="宋体" w:cs="Times New Roman"/>
          <w:szCs w:val="21"/>
        </w:rPr>
        <w:t>合理保证。</w:t>
      </w:r>
    </w:p>
    <w:p w14:paraId="7AE71270">
      <w:pPr>
        <w:pStyle w:val="15"/>
        <w:numPr>
          <w:ilvl w:val="0"/>
          <w:numId w:val="4"/>
        </w:numPr>
        <w:spacing w:after="156" w:afterLines="50" w:line="288" w:lineRule="auto"/>
        <w:rPr>
          <w:rFonts w:hint="eastAsia" w:ascii="宋体" w:hAnsi="宋体" w:eastAsia="宋体" w:cs="Times New Roman"/>
          <w:szCs w:val="21"/>
        </w:rPr>
      </w:pPr>
      <w:r>
        <w:rPr>
          <w:rFonts w:ascii="宋体" w:hAnsi="宋体" w:eastAsia="宋体" w:cs="Times New Roman"/>
          <w:szCs w:val="21"/>
        </w:rPr>
        <w:t>核查完毕且符合相关条件的，在甲方支付完毕相关费用后，由乙方发放相应的核查陈述</w:t>
      </w:r>
      <w:r>
        <w:rPr>
          <w:rFonts w:hint="eastAsia" w:ascii="宋体" w:hAnsi="宋体" w:eastAsia="宋体" w:cs="Times New Roman"/>
          <w:szCs w:val="21"/>
        </w:rPr>
        <w:t>（包括证书和/或报告）。</w:t>
      </w:r>
    </w:p>
    <w:p w14:paraId="0DBB5D15">
      <w:pPr>
        <w:pStyle w:val="15"/>
        <w:numPr>
          <w:ilvl w:val="0"/>
          <w:numId w:val="4"/>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乙方不得将甲方经营、生产、技术及管理状况以任何方式泄露给第三方，但甲方已公开的资料、</w:t>
      </w:r>
      <w:r>
        <w:rPr>
          <w:rFonts w:hint="eastAsia" w:ascii="宋体" w:hAnsi="宋体" w:eastAsia="宋体" w:cs="Times New Roman"/>
          <w:szCs w:val="21"/>
        </w:rPr>
        <w:t>法律和/或国家主管部门要求的有关信息以及认可机构要求的有关信息除外。</w:t>
      </w:r>
    </w:p>
    <w:p w14:paraId="67EEB4FC">
      <w:pPr>
        <w:pStyle w:val="15"/>
        <w:numPr>
          <w:ilvl w:val="0"/>
          <w:numId w:val="4"/>
        </w:numPr>
        <w:spacing w:after="156" w:afterLines="50" w:line="288" w:lineRule="auto"/>
        <w:rPr>
          <w:rFonts w:hint="eastAsia" w:ascii="宋体" w:hAnsi="宋体" w:eastAsia="宋体" w:cs="Times New Roman"/>
          <w:szCs w:val="21"/>
        </w:rPr>
      </w:pPr>
      <w:r>
        <w:rPr>
          <w:rFonts w:hint="eastAsia" w:ascii="宋体" w:hAnsi="宋体" w:eastAsia="宋体" w:cs="Times New Roman"/>
          <w:szCs w:val="21"/>
        </w:rPr>
        <w:t>乙方</w:t>
      </w:r>
      <w:r>
        <w:rPr>
          <w:rFonts w:ascii="宋体" w:hAnsi="宋体" w:eastAsia="宋体" w:cs="Times New Roman"/>
          <w:szCs w:val="21"/>
        </w:rPr>
        <w:t>应向潜在的客户或责任方告知其责任：</w:t>
      </w:r>
    </w:p>
    <w:p w14:paraId="4BA216E4">
      <w:pPr>
        <w:pStyle w:val="15"/>
        <w:numPr>
          <w:ilvl w:val="0"/>
          <w:numId w:val="5"/>
        </w:numPr>
        <w:spacing w:after="156" w:afterLines="50" w:line="288" w:lineRule="auto"/>
        <w:ind w:left="1009" w:hanging="442"/>
        <w:rPr>
          <w:rFonts w:hint="eastAsia" w:ascii="宋体" w:hAnsi="宋体" w:eastAsia="宋体" w:cs="Times New Roman"/>
          <w:szCs w:val="21"/>
        </w:rPr>
      </w:pPr>
      <w:r>
        <w:rPr>
          <w:rFonts w:ascii="宋体" w:hAnsi="宋体" w:eastAsia="宋体" w:cs="Times New Roman"/>
          <w:szCs w:val="21"/>
        </w:rPr>
        <w:t>符合核查要求；</w:t>
      </w:r>
    </w:p>
    <w:p w14:paraId="2454FF86">
      <w:pPr>
        <w:pStyle w:val="15"/>
        <w:numPr>
          <w:ilvl w:val="0"/>
          <w:numId w:val="5"/>
        </w:numPr>
        <w:spacing w:after="156" w:afterLines="50" w:line="288" w:lineRule="auto"/>
        <w:ind w:left="1009" w:hanging="442"/>
        <w:rPr>
          <w:rFonts w:hint="eastAsia" w:ascii="宋体" w:hAnsi="宋体" w:eastAsia="宋体" w:cs="Times New Roman"/>
          <w:szCs w:val="21"/>
        </w:rPr>
      </w:pPr>
      <w:r>
        <w:rPr>
          <w:rFonts w:ascii="宋体" w:hAnsi="宋体" w:eastAsia="宋体" w:cs="Times New Roman"/>
          <w:szCs w:val="21"/>
        </w:rPr>
        <w:t>为核查的实施提供所有必要的安排，包括为审查文件和接触或进入所有相关的过程、区域、记录和人员提供条件；</w:t>
      </w:r>
    </w:p>
    <w:p w14:paraId="6BDB7139">
      <w:pPr>
        <w:pStyle w:val="15"/>
        <w:numPr>
          <w:ilvl w:val="0"/>
          <w:numId w:val="5"/>
        </w:numPr>
        <w:spacing w:after="156" w:afterLines="50" w:line="288" w:lineRule="auto"/>
        <w:ind w:left="1009" w:hanging="442"/>
        <w:rPr>
          <w:rFonts w:hint="eastAsia" w:ascii="宋体" w:hAnsi="宋体" w:eastAsia="宋体" w:cs="Times New Roman"/>
          <w:szCs w:val="21"/>
        </w:rPr>
      </w:pPr>
      <w:r>
        <w:rPr>
          <w:rFonts w:ascii="宋体" w:hAnsi="宋体" w:eastAsia="宋体" w:cs="Times New Roman"/>
          <w:szCs w:val="21"/>
        </w:rPr>
        <w:t>适用时，为观察员提供接待条件。</w:t>
      </w:r>
    </w:p>
    <w:p w14:paraId="5C9384BA">
      <w:pPr>
        <w:numPr>
          <w:ilvl w:val="0"/>
          <w:numId w:val="1"/>
        </w:numPr>
        <w:spacing w:after="156" w:afterLines="50" w:line="288" w:lineRule="auto"/>
        <w:rPr>
          <w:rFonts w:hint="eastAsia" w:ascii="宋体" w:hAnsi="宋体" w:eastAsia="宋体" w:cs="Times New Roman"/>
          <w:szCs w:val="21"/>
        </w:rPr>
      </w:pPr>
      <w:r>
        <w:rPr>
          <w:rFonts w:ascii="宋体" w:hAnsi="宋体" w:eastAsia="宋体" w:cs="Times New Roman"/>
          <w:szCs w:val="21"/>
        </w:rPr>
        <w:t>风险</w:t>
      </w:r>
    </w:p>
    <w:p w14:paraId="2257B880">
      <w:pPr>
        <w:pStyle w:val="15"/>
        <w:numPr>
          <w:ilvl w:val="1"/>
          <w:numId w:val="6"/>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如果责任方的GHG陈述、GHG信息不符合约定的核查准则，或者责任方无法提供充足、</w:t>
      </w:r>
      <w:r>
        <w:rPr>
          <w:rFonts w:hint="eastAsia" w:ascii="宋体" w:hAnsi="宋体" w:eastAsia="宋体" w:cs="Times New Roman"/>
          <w:szCs w:val="21"/>
        </w:rPr>
        <w:t>适当和客观的证据，将承担可能被签发否定意见或保留意见的陈述。</w:t>
      </w:r>
    </w:p>
    <w:p w14:paraId="1A4DD3AE">
      <w:pPr>
        <w:pStyle w:val="15"/>
        <w:numPr>
          <w:ilvl w:val="1"/>
          <w:numId w:val="6"/>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乙方要承担因甲方获核查陈述后，</w:t>
      </w:r>
      <w:r>
        <w:rPr>
          <w:rFonts w:hint="eastAsia" w:ascii="宋体" w:hAnsi="宋体" w:eastAsia="宋体" w:cs="Times New Roman"/>
          <w:szCs w:val="21"/>
        </w:rPr>
        <w:t>因其</w:t>
      </w:r>
      <w:r>
        <w:rPr>
          <w:rFonts w:ascii="宋体" w:hAnsi="宋体" w:eastAsia="宋体" w:cs="Times New Roman"/>
          <w:szCs w:val="21"/>
        </w:rPr>
        <w:t>发生责任事故而引起甲方的顾客投诉，以致被国家认可</w:t>
      </w:r>
      <w:r>
        <w:rPr>
          <w:rFonts w:hint="eastAsia" w:ascii="宋体" w:hAnsi="宋体" w:eastAsia="宋体" w:cs="Times New Roman"/>
          <w:szCs w:val="21"/>
        </w:rPr>
        <w:t>机构暂停、撤销认可/注册资格的风险。</w:t>
      </w:r>
    </w:p>
    <w:p w14:paraId="36BE7122">
      <w:pPr>
        <w:pStyle w:val="15"/>
        <w:numPr>
          <w:ilvl w:val="1"/>
          <w:numId w:val="6"/>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在核查过程中因乙方过失造成甲方的意外损失的索赔费将不超过本合同签订的</w:t>
      </w:r>
      <w:r>
        <w:rPr>
          <w:rFonts w:hint="eastAsia" w:ascii="宋体" w:hAnsi="宋体" w:eastAsia="宋体" w:cs="Times New Roman"/>
          <w:szCs w:val="21"/>
        </w:rPr>
        <w:t>核查</w:t>
      </w:r>
      <w:r>
        <w:rPr>
          <w:rFonts w:ascii="宋体" w:hAnsi="宋体" w:eastAsia="宋体" w:cs="Times New Roman"/>
          <w:szCs w:val="21"/>
        </w:rPr>
        <w:t>费用，</w:t>
      </w:r>
      <w:r>
        <w:rPr>
          <w:rFonts w:hint="eastAsia" w:ascii="宋体" w:hAnsi="宋体" w:eastAsia="宋体" w:cs="Times New Roman"/>
          <w:szCs w:val="21"/>
        </w:rPr>
        <w:t>乙方也不承担随后的损失。</w:t>
      </w:r>
    </w:p>
    <w:p w14:paraId="430704A9">
      <w:pPr>
        <w:pStyle w:val="15"/>
        <w:numPr>
          <w:ilvl w:val="1"/>
          <w:numId w:val="6"/>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甲方应承担因核查陈述误用或标志使用不当而引起的乙方损失。</w:t>
      </w:r>
    </w:p>
    <w:p w14:paraId="6D5D495D">
      <w:pPr>
        <w:pStyle w:val="15"/>
        <w:numPr>
          <w:ilvl w:val="1"/>
          <w:numId w:val="6"/>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由于任何一方原因，没有按照</w:t>
      </w:r>
      <w:r>
        <w:rPr>
          <w:rFonts w:hint="eastAsia" w:ascii="宋体" w:hAnsi="宋体" w:eastAsia="宋体" w:cs="Times New Roman"/>
          <w:szCs w:val="21"/>
        </w:rPr>
        <w:t>双方</w:t>
      </w:r>
      <w:r>
        <w:rPr>
          <w:rFonts w:ascii="宋体" w:hAnsi="宋体" w:eastAsia="宋体" w:cs="Times New Roman"/>
          <w:szCs w:val="21"/>
        </w:rPr>
        <w:t>约定的时间进行现场核查，应提前</w:t>
      </w:r>
      <w:r>
        <w:rPr>
          <w:rFonts w:hint="eastAsia" w:ascii="宋体" w:hAnsi="宋体" w:eastAsia="宋体" w:cs="Times New Roman"/>
          <w:szCs w:val="21"/>
        </w:rPr>
        <w:t>3个工作日</w:t>
      </w:r>
      <w:r>
        <w:rPr>
          <w:rFonts w:ascii="宋体" w:hAnsi="宋体" w:eastAsia="宋体" w:cs="Times New Roman"/>
          <w:szCs w:val="21"/>
        </w:rPr>
        <w:t>书面通知对方，</w:t>
      </w:r>
      <w:r>
        <w:rPr>
          <w:rFonts w:hint="eastAsia" w:ascii="宋体" w:hAnsi="宋体" w:eastAsia="宋体" w:cs="Times New Roman"/>
          <w:szCs w:val="21"/>
        </w:rPr>
        <w:t>双方协商解决。</w:t>
      </w:r>
    </w:p>
    <w:p w14:paraId="5C785E56">
      <w:pPr>
        <w:numPr>
          <w:ilvl w:val="0"/>
          <w:numId w:val="1"/>
        </w:numPr>
        <w:spacing w:after="156" w:afterLines="50" w:line="288" w:lineRule="auto"/>
        <w:rPr>
          <w:rFonts w:hint="eastAsia" w:ascii="宋体" w:hAnsi="宋体" w:eastAsia="宋体" w:cs="Times New Roman"/>
          <w:szCs w:val="21"/>
        </w:rPr>
      </w:pPr>
      <w:r>
        <w:rPr>
          <w:rFonts w:ascii="宋体" w:hAnsi="宋体" w:eastAsia="宋体" w:cs="Times New Roman"/>
          <w:szCs w:val="21"/>
        </w:rPr>
        <w:t>获</w:t>
      </w:r>
      <w:r>
        <w:rPr>
          <w:rFonts w:hint="eastAsia" w:ascii="宋体" w:hAnsi="宋体" w:eastAsia="宋体" w:cs="Times New Roman"/>
          <w:szCs w:val="21"/>
        </w:rPr>
        <w:t>得核查陈述</w:t>
      </w:r>
      <w:r>
        <w:rPr>
          <w:rFonts w:ascii="宋体" w:hAnsi="宋体" w:eastAsia="宋体" w:cs="Times New Roman"/>
          <w:szCs w:val="21"/>
        </w:rPr>
        <w:t>后甲方的权利和义务</w:t>
      </w:r>
    </w:p>
    <w:p w14:paraId="1CDA06DA">
      <w:pPr>
        <w:pStyle w:val="15"/>
        <w:numPr>
          <w:ilvl w:val="1"/>
          <w:numId w:val="7"/>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获得</w:t>
      </w:r>
      <w:r>
        <w:rPr>
          <w:rFonts w:ascii="宋体" w:hAnsi="宋体" w:eastAsia="宋体" w:cs="Times New Roman"/>
          <w:szCs w:val="21"/>
        </w:rPr>
        <w:t>GHG核查陈述的甲方有权使用陈述和标志证明组织或项目的GHG陈述符合了特定的GHG核查标准或GHG方案，并将细节通知相关方和/或潜在的顾客；也可在宣传材料上展示GHG核查陈述和标志，但只能就获准的范围进行宣传，不能用于暗示委托方或责任方的管理/产品/服务或特定过程得到了</w:t>
      </w:r>
      <w:r>
        <w:rPr>
          <w:rFonts w:hint="eastAsia" w:ascii="宋体" w:hAnsi="宋体" w:eastAsia="宋体" w:cs="Times New Roman"/>
          <w:szCs w:val="21"/>
        </w:rPr>
        <w:t>乙方</w:t>
      </w:r>
      <w:r>
        <w:rPr>
          <w:rFonts w:ascii="宋体" w:hAnsi="宋体" w:eastAsia="宋体" w:cs="Times New Roman"/>
          <w:szCs w:val="21"/>
        </w:rPr>
        <w:t>的批准，不得损害</w:t>
      </w:r>
      <w:r>
        <w:rPr>
          <w:rFonts w:hint="eastAsia" w:ascii="宋体" w:hAnsi="宋体" w:eastAsia="宋体" w:cs="Times New Roman"/>
          <w:szCs w:val="21"/>
        </w:rPr>
        <w:t>乙方</w:t>
      </w:r>
      <w:r>
        <w:rPr>
          <w:rFonts w:ascii="宋体" w:hAnsi="宋体" w:eastAsia="宋体" w:cs="Times New Roman"/>
          <w:szCs w:val="21"/>
        </w:rPr>
        <w:t>的声誉，不得做</w:t>
      </w:r>
      <w:r>
        <w:rPr>
          <w:rFonts w:hint="eastAsia" w:ascii="宋体" w:hAnsi="宋体" w:eastAsia="宋体" w:cs="Times New Roman"/>
          <w:szCs w:val="21"/>
        </w:rPr>
        <w:t>乙方</w:t>
      </w:r>
      <w:r>
        <w:rPr>
          <w:rFonts w:ascii="宋体" w:hAnsi="宋体" w:eastAsia="宋体" w:cs="Times New Roman"/>
          <w:szCs w:val="21"/>
        </w:rPr>
        <w:t>认为误导或未授权的陈述。</w:t>
      </w:r>
    </w:p>
    <w:p w14:paraId="36162F09">
      <w:pPr>
        <w:pStyle w:val="15"/>
        <w:numPr>
          <w:ilvl w:val="1"/>
          <w:numId w:val="7"/>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乙方</w:t>
      </w:r>
      <w:r>
        <w:rPr>
          <w:rFonts w:ascii="宋体" w:hAnsi="宋体" w:eastAsia="宋体" w:cs="Times New Roman"/>
          <w:szCs w:val="21"/>
        </w:rPr>
        <w:t>GHG核查陈述中可能会附有</w:t>
      </w:r>
      <w:r>
        <w:rPr>
          <w:rFonts w:hint="eastAsia" w:ascii="宋体" w:hAnsi="宋体" w:eastAsia="宋体" w:cs="Times New Roman"/>
          <w:szCs w:val="21"/>
        </w:rPr>
        <w:t>I</w:t>
      </w:r>
      <w:r>
        <w:rPr>
          <w:rFonts w:ascii="宋体" w:hAnsi="宋体" w:eastAsia="宋体" w:cs="Times New Roman"/>
          <w:szCs w:val="21"/>
        </w:rPr>
        <w:t>AF-MLA/CNAS</w:t>
      </w:r>
      <w:r>
        <w:rPr>
          <w:rFonts w:hint="eastAsia" w:ascii="宋体" w:hAnsi="宋体" w:eastAsia="宋体" w:cs="Times New Roman"/>
          <w:szCs w:val="21"/>
        </w:rPr>
        <w:t>联合标识</w:t>
      </w:r>
      <w:r>
        <w:rPr>
          <w:rFonts w:ascii="宋体" w:hAnsi="宋体" w:eastAsia="宋体" w:cs="Times New Roman"/>
          <w:szCs w:val="21"/>
        </w:rPr>
        <w:t>，当</w:t>
      </w:r>
      <w:r>
        <w:rPr>
          <w:rFonts w:hint="eastAsia" w:ascii="宋体" w:hAnsi="宋体" w:eastAsia="宋体" w:cs="Times New Roman"/>
          <w:szCs w:val="21"/>
        </w:rPr>
        <w:t>甲方引用乙方出具的核查陈述，可以在使用乙方标志的同时，使用I</w:t>
      </w:r>
      <w:r>
        <w:rPr>
          <w:rFonts w:ascii="宋体" w:hAnsi="宋体" w:eastAsia="宋体" w:cs="Times New Roman"/>
          <w:szCs w:val="21"/>
        </w:rPr>
        <w:t>AF-MLA/CNAS</w:t>
      </w:r>
      <w:r>
        <w:rPr>
          <w:rFonts w:hint="eastAsia" w:ascii="宋体" w:hAnsi="宋体" w:eastAsia="宋体" w:cs="Times New Roman"/>
          <w:szCs w:val="21"/>
        </w:rPr>
        <w:t>联合标识，但必须I</w:t>
      </w:r>
      <w:r>
        <w:rPr>
          <w:rFonts w:ascii="宋体" w:hAnsi="宋体" w:eastAsia="宋体" w:cs="Times New Roman"/>
          <w:szCs w:val="21"/>
        </w:rPr>
        <w:t>AF-MLA/CNAS</w:t>
      </w:r>
      <w:r>
        <w:rPr>
          <w:rFonts w:hint="eastAsia" w:ascii="宋体" w:hAnsi="宋体" w:eastAsia="宋体" w:cs="Times New Roman"/>
          <w:szCs w:val="21"/>
        </w:rPr>
        <w:t>联合标识和乙方标志同时使用，不得单独使用</w:t>
      </w:r>
    </w:p>
    <w:p w14:paraId="243A8675">
      <w:pPr>
        <w:pStyle w:val="15"/>
        <w:numPr>
          <w:ilvl w:val="1"/>
          <w:numId w:val="7"/>
        </w:numPr>
        <w:spacing w:after="156" w:afterLines="50" w:line="288" w:lineRule="auto"/>
        <w:jc w:val="left"/>
        <w:rPr>
          <w:rFonts w:hint="eastAsia" w:ascii="宋体" w:hAnsi="宋体" w:eastAsia="宋体" w:cs="Times New Roman"/>
          <w:szCs w:val="21"/>
        </w:rPr>
      </w:pPr>
      <w:r>
        <w:rPr>
          <w:rFonts w:ascii="宋体" w:hAnsi="宋体" w:eastAsia="宋体" w:cs="Times New Roman"/>
          <w:szCs w:val="21"/>
        </w:rPr>
        <w:t>GHG核查陈述（包括证书和/或报告）使用时，应完整引用，不得以误导性方式使用GHG核查陈述文件或其任何部分。</w:t>
      </w:r>
    </w:p>
    <w:p w14:paraId="3AA158BD">
      <w:pPr>
        <w:pStyle w:val="15"/>
        <w:numPr>
          <w:ilvl w:val="1"/>
          <w:numId w:val="7"/>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如果</w:t>
      </w:r>
      <w:r>
        <w:rPr>
          <w:rFonts w:ascii="宋体" w:hAnsi="宋体" w:eastAsia="宋体" w:cs="Times New Roman"/>
          <w:szCs w:val="21"/>
        </w:rPr>
        <w:t>甲方需要宣传其生产每单位产品的排放量（产生的排放或减少的排放）或类似数据的陈述，应同时说明其来源，包括：GHG核查陈述的日期、该陈述是否基于历史数据。如果GHG核查陈述中关于产品和相关标志的特定数据和信息而对该陈述有任何限制，也应同时予以说明。</w:t>
      </w:r>
    </w:p>
    <w:p w14:paraId="401E3F02">
      <w:pPr>
        <w:pStyle w:val="15"/>
        <w:numPr>
          <w:ilvl w:val="1"/>
          <w:numId w:val="7"/>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GHG</w:t>
      </w:r>
      <w:r>
        <w:rPr>
          <w:rFonts w:ascii="宋体" w:hAnsi="宋体" w:eastAsia="宋体" w:cs="Times New Roman"/>
          <w:szCs w:val="21"/>
        </w:rPr>
        <w:t>核查标志或摘自GHG核查陈述的陈述，不得用在产品上，或作为产品的合格证明，或用在消费者可见到的产品包装上，或以其它任何可能被解释为产品认证的方式使用。标志或所附文字不应使人对核查对象和授予核查陈述的机构产生歧义</w:t>
      </w:r>
      <w:r>
        <w:rPr>
          <w:rFonts w:hint="eastAsia" w:ascii="宋体" w:hAnsi="宋体" w:eastAsia="宋体" w:cs="Times New Roman"/>
          <w:szCs w:val="21"/>
          <w:lang w:eastAsia="zh-CN"/>
        </w:rPr>
        <w:t>。</w:t>
      </w:r>
    </w:p>
    <w:p w14:paraId="49592884">
      <w:pPr>
        <w:pStyle w:val="15"/>
        <w:numPr>
          <w:ilvl w:val="1"/>
          <w:numId w:val="7"/>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如果</w:t>
      </w:r>
      <w:r>
        <w:rPr>
          <w:rFonts w:hint="eastAsia" w:ascii="宋体" w:hAnsi="宋体" w:eastAsia="宋体" w:cs="Times New Roman"/>
          <w:szCs w:val="21"/>
        </w:rPr>
        <w:t>在核查陈述签发后/出具核查意见时发现了影响核查陈述/核查意见的新事实或信息，包括但不限于来自甲方、乙方和任何其他第三方，甲方应予以配合。乙方将采取适宜的行动，包括尽早与甲方（委托方、受核查方）和GHG方案方沟通此事，对核查陈述/核查意见进行变更或撤销等。根据相关方所依赖的原始意见对核查陈述/核查意见进行调整。由此产生的费用由双方协商决定。</w:t>
      </w:r>
    </w:p>
    <w:p w14:paraId="7023454F">
      <w:pPr>
        <w:numPr>
          <w:ilvl w:val="0"/>
          <w:numId w:val="1"/>
        </w:numPr>
        <w:spacing w:after="156" w:afterLines="50" w:line="288" w:lineRule="auto"/>
        <w:rPr>
          <w:rFonts w:hint="eastAsia" w:ascii="宋体" w:hAnsi="宋体" w:eastAsia="宋体" w:cs="Times New Roman"/>
          <w:szCs w:val="21"/>
        </w:rPr>
      </w:pPr>
      <w:r>
        <w:rPr>
          <w:rFonts w:hint="eastAsia" w:ascii="宋体" w:hAnsi="宋体" w:eastAsia="宋体" w:cs="Times New Roman"/>
          <w:szCs w:val="21"/>
          <w:lang w:val="en-US" w:eastAsia="zh-CN"/>
        </w:rPr>
        <w:t>违约责任</w:t>
      </w:r>
    </w:p>
    <w:p w14:paraId="6BC989D3">
      <w:pPr>
        <w:pStyle w:val="15"/>
        <w:numPr>
          <w:ilvl w:val="1"/>
          <w:numId w:val="8"/>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rPr>
        <w:t>在合同履行过程中，若非乙方的原因，合同在完成前被终止，则乙方不出具意见，且不承担任何责任，但甲方仍应承担乙方已完成工作量的费用。若因乙方原因终止合同，则乙方退还甲方全部已支付费用。双方因不可抗力造成的合同延迟或失败，免除赔偿责任，包括但不限于战争、天灾等，受到影响的一方应立即书面通知另一方。</w:t>
      </w:r>
    </w:p>
    <w:p w14:paraId="6FFE41D9">
      <w:pPr>
        <w:numPr>
          <w:ilvl w:val="0"/>
          <w:numId w:val="1"/>
        </w:numPr>
        <w:spacing w:after="156" w:afterLines="50" w:line="288" w:lineRule="auto"/>
        <w:rPr>
          <w:rFonts w:hint="eastAsia" w:ascii="宋体" w:hAnsi="宋体" w:eastAsia="宋体" w:cs="Times New Roman"/>
          <w:szCs w:val="21"/>
        </w:rPr>
      </w:pPr>
      <w:r>
        <w:rPr>
          <w:rFonts w:hint="eastAsia" w:ascii="宋体" w:hAnsi="宋体" w:eastAsia="宋体" w:cs="Times New Roman"/>
          <w:szCs w:val="21"/>
          <w:lang w:val="en-US" w:eastAsia="zh-CN"/>
        </w:rPr>
        <w:t>争议</w:t>
      </w:r>
    </w:p>
    <w:p w14:paraId="2DB95E89">
      <w:pPr>
        <w:pStyle w:val="15"/>
        <w:numPr>
          <w:ilvl w:val="1"/>
          <w:numId w:val="9"/>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rPr>
        <w:t>在合同履行过程中发生争议时，双方应首先协商解决。</w:t>
      </w:r>
    </w:p>
    <w:p w14:paraId="3173887F">
      <w:pPr>
        <w:pStyle w:val="15"/>
        <w:numPr>
          <w:ilvl w:val="1"/>
          <w:numId w:val="9"/>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不能</w:t>
      </w:r>
      <w:r>
        <w:rPr>
          <w:rFonts w:hint="eastAsia" w:ascii="宋体" w:hAnsi="宋体" w:eastAsia="宋体" w:cs="Times New Roman"/>
          <w:szCs w:val="21"/>
        </w:rPr>
        <w:t>协商解决的争议申请由仲裁委员会仲裁，按司法程序解决</w:t>
      </w:r>
    </w:p>
    <w:p w14:paraId="273050C7">
      <w:pPr>
        <w:numPr>
          <w:ilvl w:val="0"/>
          <w:numId w:val="1"/>
        </w:numPr>
        <w:spacing w:after="156" w:afterLines="50" w:line="288"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与本合同有关的事项</w:t>
      </w:r>
    </w:p>
    <w:p w14:paraId="3826087B">
      <w:pPr>
        <w:pStyle w:val="15"/>
        <w:numPr>
          <w:ilvl w:val="1"/>
          <w:numId w:val="10"/>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rPr>
        <w:t>本合同一式2份，甲乙双方各执一份，自签字之日起生效，两年后仍未执行本合同则自动作废。</w:t>
      </w:r>
    </w:p>
    <w:p w14:paraId="7F1CFDD4">
      <w:pPr>
        <w:pStyle w:val="15"/>
        <w:numPr>
          <w:ilvl w:val="1"/>
          <w:numId w:val="10"/>
        </w:numPr>
        <w:spacing w:after="156" w:afterLines="50" w:line="288" w:lineRule="auto"/>
        <w:jc w:val="left"/>
        <w:rPr>
          <w:rFonts w:hint="eastAsia" w:ascii="宋体" w:hAnsi="宋体" w:eastAsia="宋体" w:cs="Times New Roman"/>
          <w:szCs w:val="21"/>
        </w:rPr>
      </w:pPr>
      <w:r>
        <w:rPr>
          <w:rFonts w:hint="eastAsia" w:ascii="宋体" w:hAnsi="宋体" w:eastAsia="宋体" w:cs="Times New Roman"/>
          <w:szCs w:val="21"/>
          <w:lang w:val="en-US" w:eastAsia="zh-CN"/>
        </w:rPr>
        <w:t>本</w:t>
      </w:r>
      <w:r>
        <w:rPr>
          <w:rFonts w:ascii="宋体" w:hAnsi="宋体" w:eastAsia="宋体" w:cs="Times New Roman"/>
          <w:szCs w:val="21"/>
        </w:rPr>
        <w:t>合同未尽事宜，双方同意通过合同附件予以规定，合同附件与合同</w:t>
      </w:r>
      <w:r>
        <w:rPr>
          <w:rFonts w:hint="eastAsia" w:ascii="宋体" w:hAnsi="宋体" w:eastAsia="宋体" w:cs="Times New Roman"/>
          <w:szCs w:val="21"/>
        </w:rPr>
        <w:t>具有</w:t>
      </w:r>
      <w:r>
        <w:rPr>
          <w:rFonts w:ascii="宋体" w:hAnsi="宋体" w:eastAsia="宋体" w:cs="Times New Roman"/>
          <w:szCs w:val="21"/>
        </w:rPr>
        <w:t>同等效力。</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4316"/>
      </w:tblGrid>
      <w:tr w14:paraId="3644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80" w:type="dxa"/>
            <w:vAlign w:val="center"/>
          </w:tcPr>
          <w:p w14:paraId="16429D83">
            <w:pPr>
              <w:spacing w:line="440" w:lineRule="exact"/>
              <w:rPr>
                <w:rFonts w:hint="eastAsia" w:ascii="宋体" w:hAnsi="宋体" w:eastAsia="宋体" w:cs="Times New Roman"/>
                <w:szCs w:val="21"/>
              </w:rPr>
            </w:pPr>
            <w:r>
              <w:rPr>
                <w:rFonts w:hint="eastAsia" w:ascii="宋体" w:hAnsi="宋体" w:eastAsia="宋体" w:cs="Times New Roman"/>
                <w:szCs w:val="21"/>
                <w:lang w:val="en-US" w:eastAsia="zh-CN"/>
              </w:rPr>
              <w:t>申请组织</w:t>
            </w:r>
            <w:r>
              <w:rPr>
                <w:rFonts w:ascii="宋体" w:hAnsi="宋体" w:eastAsia="宋体" w:cs="Times New Roman"/>
                <w:szCs w:val="21"/>
              </w:rPr>
              <w:t>（盖章）（甲方）：</w:t>
            </w:r>
          </w:p>
        </w:tc>
        <w:tc>
          <w:tcPr>
            <w:tcW w:w="4316" w:type="dxa"/>
            <w:vAlign w:val="center"/>
          </w:tcPr>
          <w:p w14:paraId="14A168DC">
            <w:pPr>
              <w:spacing w:line="440" w:lineRule="exact"/>
              <w:rPr>
                <w:rFonts w:hint="eastAsia" w:ascii="宋体" w:hAnsi="宋体" w:eastAsia="宋体" w:cs="Times New Roman"/>
                <w:szCs w:val="21"/>
              </w:rPr>
            </w:pPr>
            <w:r>
              <w:rPr>
                <w:rFonts w:hint="eastAsia" w:ascii="宋体" w:hAnsi="宋体" w:eastAsia="宋体" w:cs="Times New Roman"/>
                <w:bCs/>
                <w:szCs w:val="21"/>
              </w:rPr>
              <w:t>受托</w:t>
            </w:r>
            <w:r>
              <w:rPr>
                <w:rFonts w:ascii="宋体" w:hAnsi="宋体" w:eastAsia="宋体" w:cs="Times New Roman"/>
                <w:bCs/>
                <w:szCs w:val="21"/>
              </w:rPr>
              <w:t>方</w:t>
            </w:r>
            <w:r>
              <w:rPr>
                <w:rFonts w:ascii="宋体" w:hAnsi="宋体" w:eastAsia="宋体" w:cs="Times New Roman"/>
                <w:szCs w:val="21"/>
              </w:rPr>
              <w:t>（盖章）</w:t>
            </w:r>
            <w:r>
              <w:rPr>
                <w:rFonts w:ascii="宋体" w:hAnsi="宋体" w:eastAsia="宋体" w:cs="Times New Roman"/>
                <w:bCs/>
                <w:szCs w:val="21"/>
              </w:rPr>
              <w:t>（乙方）</w:t>
            </w:r>
            <w:r>
              <w:rPr>
                <w:rFonts w:ascii="宋体" w:hAnsi="宋体" w:eastAsia="宋体" w:cs="Times New Roman"/>
                <w:szCs w:val="21"/>
              </w:rPr>
              <w:t>：</w:t>
            </w:r>
          </w:p>
          <w:p w14:paraId="0F40713A">
            <w:pPr>
              <w:spacing w:line="440" w:lineRule="exact"/>
              <w:rPr>
                <w:rFonts w:hint="eastAsia" w:ascii="宋体" w:hAnsi="宋体" w:eastAsia="宋体" w:cs="Times New Roman"/>
                <w:szCs w:val="21"/>
              </w:rPr>
            </w:pPr>
            <w:r>
              <w:rPr>
                <w:rFonts w:ascii="宋体" w:hAnsi="宋体" w:eastAsia="宋体" w:cs="Times New Roman"/>
                <w:szCs w:val="21"/>
              </w:rPr>
              <w:t>北京新纪源认证有限公司</w:t>
            </w:r>
          </w:p>
        </w:tc>
      </w:tr>
      <w:tr w14:paraId="71E8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80" w:type="dxa"/>
            <w:vAlign w:val="center"/>
          </w:tcPr>
          <w:p w14:paraId="7DC17721">
            <w:pPr>
              <w:spacing w:line="440" w:lineRule="exact"/>
              <w:rPr>
                <w:rFonts w:hint="eastAsia" w:ascii="宋体" w:hAnsi="宋体" w:eastAsia="宋体" w:cs="Times New Roman"/>
                <w:szCs w:val="21"/>
              </w:rPr>
            </w:pPr>
            <w:r>
              <w:rPr>
                <w:rFonts w:ascii="宋体" w:hAnsi="宋体" w:eastAsia="宋体" w:cs="Times New Roman"/>
                <w:szCs w:val="21"/>
              </w:rPr>
              <w:t>委托代表人：</w:t>
            </w:r>
          </w:p>
        </w:tc>
        <w:tc>
          <w:tcPr>
            <w:tcW w:w="4316" w:type="dxa"/>
            <w:vAlign w:val="center"/>
          </w:tcPr>
          <w:p w14:paraId="020416B7">
            <w:pPr>
              <w:spacing w:line="440" w:lineRule="exact"/>
              <w:rPr>
                <w:rFonts w:hint="eastAsia" w:ascii="宋体" w:hAnsi="宋体" w:eastAsia="宋体" w:cs="Times New Roman"/>
                <w:szCs w:val="21"/>
              </w:rPr>
            </w:pPr>
            <w:r>
              <w:rPr>
                <w:rFonts w:ascii="宋体" w:hAnsi="宋体" w:eastAsia="宋体" w:cs="Times New Roman"/>
                <w:szCs w:val="21"/>
              </w:rPr>
              <w:t>委托代表人：</w:t>
            </w:r>
          </w:p>
        </w:tc>
      </w:tr>
      <w:tr w14:paraId="0CD1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80" w:type="dxa"/>
            <w:vAlign w:val="center"/>
          </w:tcPr>
          <w:p w14:paraId="7286FE05">
            <w:pPr>
              <w:wordWrap w:val="0"/>
              <w:spacing w:line="440" w:lineRule="exact"/>
              <w:ind w:right="360"/>
              <w:jc w:val="right"/>
              <w:rPr>
                <w:rFonts w:hint="eastAsia" w:ascii="宋体" w:hAnsi="宋体" w:eastAsia="宋体" w:cs="Times New Roman"/>
                <w:szCs w:val="21"/>
              </w:rPr>
            </w:pPr>
            <w:r>
              <w:rPr>
                <w:rFonts w:ascii="宋体" w:hAnsi="宋体" w:eastAsia="宋体" w:cs="Times New Roman"/>
                <w:szCs w:val="21"/>
              </w:rPr>
              <w:t>年</w:t>
            </w:r>
            <w:r>
              <w:rPr>
                <w:rFonts w:hint="eastAsia" w:ascii="宋体" w:hAnsi="宋体" w:eastAsia="宋体" w:cs="Times New Roman"/>
                <w:szCs w:val="21"/>
              </w:rPr>
              <w:t xml:space="preserve">   </w:t>
            </w:r>
            <w:r>
              <w:rPr>
                <w:rFonts w:ascii="宋体" w:hAnsi="宋体" w:eastAsia="宋体" w:cs="Times New Roman"/>
                <w:szCs w:val="21"/>
              </w:rPr>
              <w:t>月</w:t>
            </w:r>
            <w:r>
              <w:rPr>
                <w:rFonts w:hint="eastAsia" w:ascii="宋体" w:hAnsi="宋体" w:eastAsia="宋体" w:cs="Times New Roman"/>
                <w:szCs w:val="21"/>
              </w:rPr>
              <w:t xml:space="preserve">   </w:t>
            </w:r>
            <w:r>
              <w:rPr>
                <w:rFonts w:ascii="宋体" w:hAnsi="宋体" w:eastAsia="宋体" w:cs="Times New Roman"/>
                <w:szCs w:val="21"/>
              </w:rPr>
              <w:t>日</w:t>
            </w:r>
          </w:p>
        </w:tc>
        <w:tc>
          <w:tcPr>
            <w:tcW w:w="4316" w:type="dxa"/>
            <w:vAlign w:val="center"/>
          </w:tcPr>
          <w:p w14:paraId="3FCBE9B2">
            <w:pPr>
              <w:wordWrap w:val="0"/>
              <w:spacing w:line="440" w:lineRule="exact"/>
              <w:ind w:right="240"/>
              <w:jc w:val="right"/>
              <w:rPr>
                <w:rFonts w:hint="eastAsia" w:ascii="宋体" w:hAnsi="宋体" w:eastAsia="宋体" w:cs="Times New Roman"/>
                <w:szCs w:val="21"/>
              </w:rPr>
            </w:pPr>
            <w:r>
              <w:rPr>
                <w:rFonts w:ascii="宋体" w:hAnsi="宋体" w:eastAsia="宋体" w:cs="Times New Roman"/>
                <w:szCs w:val="21"/>
              </w:rPr>
              <w:t>年</w:t>
            </w:r>
            <w:r>
              <w:rPr>
                <w:rFonts w:hint="eastAsia" w:ascii="宋体" w:hAnsi="宋体" w:eastAsia="宋体" w:cs="Times New Roman"/>
                <w:szCs w:val="21"/>
              </w:rPr>
              <w:t xml:space="preserve">   </w:t>
            </w:r>
            <w:r>
              <w:rPr>
                <w:rFonts w:ascii="宋体" w:hAnsi="宋体" w:eastAsia="宋体" w:cs="Times New Roman"/>
                <w:szCs w:val="21"/>
              </w:rPr>
              <w:t>月</w:t>
            </w:r>
            <w:r>
              <w:rPr>
                <w:rFonts w:hint="eastAsia" w:ascii="宋体" w:hAnsi="宋体" w:eastAsia="宋体" w:cs="Times New Roman"/>
                <w:szCs w:val="21"/>
              </w:rPr>
              <w:t xml:space="preserve">   </w:t>
            </w:r>
            <w:r>
              <w:rPr>
                <w:rFonts w:ascii="宋体" w:hAnsi="宋体" w:eastAsia="宋体" w:cs="Times New Roman"/>
                <w:szCs w:val="21"/>
              </w:rPr>
              <w:t>日</w:t>
            </w:r>
          </w:p>
        </w:tc>
      </w:tr>
    </w:tbl>
    <w:p w14:paraId="503C7D00">
      <w:pPr>
        <w:rPr>
          <w:rFonts w:hint="eastAsia" w:ascii="宋体" w:hAnsi="宋体" w:eastAsia="宋体"/>
          <w:szCs w:val="21"/>
        </w:rPr>
      </w:pPr>
    </w:p>
    <w:sectPr>
      <w:headerReference r:id="rId7" w:type="default"/>
      <w:footerReference r:id="rId8" w:type="default"/>
      <w:pgSz w:w="11906" w:h="16838"/>
      <w:pgMar w:top="1134" w:right="1134" w:bottom="851" w:left="1134" w:header="567"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BE27">
    <w:pPr>
      <w:pStyle w:val="4"/>
      <w:jc w:val="right"/>
      <w:rPr>
        <w:rFonts w:hint="eastAsia" w:asciiTheme="minorEastAsia" w:hAnsiTheme="minorEastAsia"/>
        <w:b/>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B002C">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83B002C">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v:textbox>
            </v:shape>
          </w:pict>
        </mc:Fallback>
      </mc:AlternateContent>
    </w:r>
    <w:r>
      <w:rPr>
        <w:rFonts w:hint="eastAsia" w:asciiTheme="minorEastAsia" w:hAnsiTheme="minor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424715"/>
    </w:sdtPr>
    <w:sdtContent>
      <w:sdt>
        <w:sdtPr>
          <w:id w:val="371111574"/>
        </w:sdtPr>
        <w:sdtContent>
          <w:p w14:paraId="777A173E">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21DA9FBC">
    <w:pPr>
      <w:pStyle w:val="4"/>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8760976"/>
    </w:sdtPr>
    <w:sdtContent>
      <w:sdt>
        <w:sdtPr>
          <w:id w:val="1728636285"/>
        </w:sdtPr>
        <w:sdtContent>
          <w:p w14:paraId="31CC743C">
            <w:pPr>
              <w:pStyle w:val="4"/>
              <w:ind w:firstLine="360"/>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6BB5">
    <w:pPr>
      <w:pStyle w:val="13"/>
    </w:pPr>
    <w:r>
      <w:drawing>
        <wp:anchor distT="0" distB="0" distL="114300" distR="114300" simplePos="0" relativeHeight="251661312" behindDoc="1" locked="0" layoutInCell="1" allowOverlap="1">
          <wp:simplePos x="0" y="0"/>
          <wp:positionH relativeFrom="column">
            <wp:posOffset>-719455</wp:posOffset>
          </wp:positionH>
          <wp:positionV relativeFrom="paragraph">
            <wp:posOffset>-307975</wp:posOffset>
          </wp:positionV>
          <wp:extent cx="581025" cy="62865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6C73E0E8">
    <w:pPr>
      <w:pStyle w:val="5"/>
      <w:rPr>
        <w:rFonts w:hint="eastAsia" w:asciiTheme="minorEastAsia" w:hAnsiTheme="minorEastAsia"/>
        <w:b/>
      </w:rPr>
    </w:pPr>
    <w:r>
      <w:rPr>
        <w:rFonts w:asciiTheme="minorEastAsia" w:hAnsiTheme="minorEastAsia"/>
        <w:b/>
        <w:bCs/>
      </w:rPr>
      <w:t>北京</w:t>
    </w:r>
    <w:r>
      <w:rPr>
        <w:rFonts w:hint="eastAsia" w:asciiTheme="minorEastAsia" w:hAnsiTheme="minorEastAsia"/>
        <w:b/>
        <w:bCs/>
      </w:rPr>
      <w:t>新纪源</w:t>
    </w:r>
    <w:r>
      <w:rPr>
        <w:rFonts w:asciiTheme="minorEastAsia" w:hAnsiTheme="minorEastAsia"/>
        <w:b/>
        <w:bCs/>
      </w:rPr>
      <w:t xml:space="preserve">认证有限公司                                      </w:t>
    </w:r>
    <w:r>
      <w:rPr>
        <w:rFonts w:hint="eastAsia" w:asciiTheme="minorEastAsia" w:hAnsiTheme="minorEastAsia"/>
        <w:b/>
        <w:bCs/>
      </w:rPr>
      <w:t xml:space="preserve">             </w:t>
    </w:r>
    <w:r>
      <w:rPr>
        <w:rFonts w:asciiTheme="minorEastAsia" w:hAnsiTheme="minorEastAsia"/>
        <w:b/>
        <w:bCs/>
      </w:rPr>
      <w:t xml:space="preserve"> QP0901R02-1</w:t>
    </w:r>
    <w:r>
      <w:rPr>
        <w:rFonts w:hint="eastAsia" w:asciiTheme="minorEastAsia" w:hAnsiTheme="minorEastAsia"/>
        <w:b/>
        <w:bCs/>
      </w:rPr>
      <w:t xml:space="preserve"> 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16A4">
    <w:pPr>
      <w:pStyle w:val="13"/>
    </w:pPr>
    <w:r>
      <w:drawing>
        <wp:anchor distT="0" distB="0" distL="114300" distR="114300" simplePos="0" relativeHeight="251660288" behindDoc="1" locked="0" layoutInCell="1" allowOverlap="1">
          <wp:simplePos x="0" y="0"/>
          <wp:positionH relativeFrom="column">
            <wp:posOffset>-719455</wp:posOffset>
          </wp:positionH>
          <wp:positionV relativeFrom="paragraph">
            <wp:posOffset>-293370</wp:posOffset>
          </wp:positionV>
          <wp:extent cx="581025" cy="6286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0E9E6C8B">
    <w:pPr>
      <w:pStyle w:val="5"/>
      <w:jc w:val="both"/>
      <w:rPr>
        <w:rFonts w:hint="eastAsia"/>
        <w:b/>
        <w:u w:val="single"/>
      </w:rPr>
    </w:pPr>
    <w:r>
      <w:rPr>
        <w:b/>
        <w:bCs/>
        <w:u w:val="single"/>
      </w:rPr>
      <w:t xml:space="preserve">北京新纪源认证有限公司                                                 </w:t>
    </w:r>
    <w:r>
      <w:rPr>
        <w:rFonts w:hint="eastAsia"/>
        <w:b/>
        <w:bCs/>
        <w:u w:val="single"/>
      </w:rPr>
      <w:t xml:space="preserve">  </w:t>
    </w:r>
    <w:r>
      <w:rPr>
        <w:b/>
        <w:bCs/>
        <w:u w:val="single"/>
      </w:rPr>
      <w:t xml:space="preserve">  </w:t>
    </w:r>
    <w:r>
      <w:rPr>
        <w:rFonts w:hint="eastAsia"/>
        <w:b/>
        <w:bCs/>
        <w:u w:val="single"/>
      </w:rPr>
      <w:t xml:space="preserve">              </w:t>
    </w:r>
    <w:r>
      <w:rPr>
        <w:b/>
        <w:bCs/>
        <w:u w:val="single"/>
      </w:rPr>
      <w:t xml:space="preserve"> </w:t>
    </w:r>
    <w:r>
      <w:rPr>
        <w:rFonts w:hint="eastAsia"/>
        <w:b/>
        <w:bCs/>
        <w:u w:val="single"/>
      </w:rPr>
      <w:t>T</w:t>
    </w:r>
    <w:r>
      <w:rPr>
        <w:b/>
        <w:bCs/>
        <w:u w:val="single"/>
      </w:rPr>
      <w:t xml:space="preserve">P0901R02  </w:t>
    </w:r>
    <w:r>
      <w:rPr>
        <w:rFonts w:hint="eastAsia"/>
        <w:b/>
        <w:bCs/>
        <w:u w:val="single"/>
      </w:rPr>
      <w:t>A</w:t>
    </w:r>
    <w:r>
      <w:rPr>
        <w:b/>
        <w:bCs/>
        <w:u w:val="single"/>
      </w:rPr>
      <w:t>/</w:t>
    </w:r>
    <w:r>
      <w:rPr>
        <w:rFonts w:hint="eastAsia"/>
        <w:b/>
        <w:bCs/>
        <w:u w:val="single"/>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C688">
    <w:pPr>
      <w:pStyle w:val="5"/>
      <w:ind w:firstLine="360"/>
      <w:rPr>
        <w:rFonts w:hint="eastAsia"/>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-342900</wp:posOffset>
          </wp:positionV>
          <wp:extent cx="581025" cy="628650"/>
          <wp:effectExtent l="0" t="0" r="9525" b="0"/>
          <wp:wrapNone/>
          <wp:docPr id="4" name="图片 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卡通画&#10;&#10;中度可信度描述已自动生成"/>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50"/>
                  </a:xfrm>
                  <a:prstGeom prst="rect">
                    <a:avLst/>
                  </a:prstGeom>
                </pic:spPr>
              </pic:pic>
            </a:graphicData>
          </a:graphic>
        </wp:anchor>
      </w:drawing>
    </w:r>
    <w:r>
      <w:ptab w:relativeTo="margin" w:alignment="center" w:leader="none"/>
    </w:r>
    <w:r>
      <w:t xml:space="preserve">                                                                 </w:t>
    </w:r>
    <w:r>
      <w:rPr>
        <w:b/>
        <w:bCs/>
      </w:rPr>
      <w:t>北京新纪源认证有限公司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15133"/>
    <w:multiLevelType w:val="multilevel"/>
    <w:tmpl w:val="8ED15133"/>
    <w:lvl w:ilvl="0" w:tentative="0">
      <w:start w:val="1"/>
      <w:numFmt w:val="decimal"/>
      <w:lvlText w:val="%1."/>
      <w:lvlJc w:val="left"/>
      <w:pPr>
        <w:ind w:left="860" w:hanging="440"/>
      </w:pPr>
    </w:lvl>
    <w:lvl w:ilvl="1" w:tentative="0">
      <w:start w:val="1"/>
      <w:numFmt w:val="decimal"/>
      <w:lvlText w:val="%2."/>
      <w:lvlJc w:val="left"/>
      <w:pPr>
        <w:ind w:left="86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FA6EA6B0"/>
    <w:multiLevelType w:val="multilevel"/>
    <w:tmpl w:val="FA6EA6B0"/>
    <w:lvl w:ilvl="0" w:tentative="0">
      <w:start w:val="1"/>
      <w:numFmt w:val="decimal"/>
      <w:lvlText w:val="%1."/>
      <w:lvlJc w:val="left"/>
      <w:pPr>
        <w:ind w:left="860" w:hanging="440"/>
      </w:pPr>
    </w:lvl>
    <w:lvl w:ilvl="1" w:tentative="0">
      <w:start w:val="1"/>
      <w:numFmt w:val="decimal"/>
      <w:lvlText w:val="%2."/>
      <w:lvlJc w:val="left"/>
      <w:pPr>
        <w:ind w:left="86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3F211DD"/>
    <w:multiLevelType w:val="multilevel"/>
    <w:tmpl w:val="03F211DD"/>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60A593A"/>
    <w:multiLevelType w:val="multilevel"/>
    <w:tmpl w:val="060A593A"/>
    <w:lvl w:ilvl="0" w:tentative="0">
      <w:start w:val="1"/>
      <w:numFmt w:val="decimal"/>
      <w:lvlText w:val="%1."/>
      <w:lvlJc w:val="left"/>
      <w:pPr>
        <w:ind w:left="860" w:hanging="440"/>
      </w:pPr>
    </w:lvl>
    <w:lvl w:ilvl="1" w:tentative="0">
      <w:start w:val="1"/>
      <w:numFmt w:val="decimal"/>
      <w:lvlText w:val="%2."/>
      <w:lvlJc w:val="left"/>
      <w:pPr>
        <w:ind w:left="86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0B492873"/>
    <w:multiLevelType w:val="multilevel"/>
    <w:tmpl w:val="0B492873"/>
    <w:lvl w:ilvl="0" w:tentative="0">
      <w:start w:val="1"/>
      <w:numFmt w:val="chineseCountingThousand"/>
      <w:lvlText w:val="%1、"/>
      <w:lvlJc w:val="left"/>
      <w:pPr>
        <w:ind w:left="440" w:hanging="440"/>
      </w:pPr>
      <w:rPr>
        <w:rFonts w:hint="eastAsia"/>
        <w:b/>
        <w:bCs w:val="0"/>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B55189"/>
    <w:multiLevelType w:val="multilevel"/>
    <w:tmpl w:val="2CB55189"/>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default"/>
        <w:b w:val="0"/>
        <w:bCs/>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5E175CD5"/>
    <w:multiLevelType w:val="multilevel"/>
    <w:tmpl w:val="5E175CD5"/>
    <w:lvl w:ilvl="0" w:tentative="0">
      <w:start w:val="1"/>
      <w:numFmt w:val="decimal"/>
      <w:lvlText w:val="%1."/>
      <w:lvlJc w:val="left"/>
      <w:pPr>
        <w:ind w:left="860" w:hanging="440"/>
      </w:pPr>
    </w:lvl>
    <w:lvl w:ilvl="1" w:tentative="0">
      <w:start w:val="1"/>
      <w:numFmt w:val="decimal"/>
      <w:lvlText w:val="%2."/>
      <w:lvlJc w:val="left"/>
      <w:pPr>
        <w:ind w:left="86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6160FE18"/>
    <w:multiLevelType w:val="multilevel"/>
    <w:tmpl w:val="6160FE18"/>
    <w:lvl w:ilvl="0" w:tentative="0">
      <w:start w:val="1"/>
      <w:numFmt w:val="decimal"/>
      <w:lvlText w:val="%1."/>
      <w:lvlJc w:val="left"/>
      <w:pPr>
        <w:ind w:left="860" w:hanging="440"/>
      </w:pPr>
    </w:lvl>
    <w:lvl w:ilvl="1" w:tentative="0">
      <w:start w:val="1"/>
      <w:numFmt w:val="decimal"/>
      <w:lvlText w:val="%2."/>
      <w:lvlJc w:val="left"/>
      <w:pPr>
        <w:ind w:left="86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732651E2"/>
    <w:multiLevelType w:val="multilevel"/>
    <w:tmpl w:val="732651E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74373427"/>
    <w:multiLevelType w:val="multilevel"/>
    <w:tmpl w:val="74373427"/>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4"/>
  </w:num>
  <w:num w:numId="2">
    <w:abstractNumId w:val="5"/>
  </w:num>
  <w:num w:numId="3">
    <w:abstractNumId w:val="9"/>
  </w:num>
  <w:num w:numId="4">
    <w:abstractNumId w:val="2"/>
  </w:num>
  <w:num w:numId="5">
    <w:abstractNumId w:val="8"/>
  </w:num>
  <w:num w:numId="6">
    <w:abstractNumId w:val="3"/>
  </w:num>
  <w:num w:numId="7">
    <w:abstractNumId w:val="1"/>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YmNiYTExODAyMDM4MTFmNmFiZDlhMGRjNzBmZGUifQ=="/>
  </w:docVars>
  <w:rsids>
    <w:rsidRoot w:val="004E4BA9"/>
    <w:rsid w:val="00001359"/>
    <w:rsid w:val="00073E6C"/>
    <w:rsid w:val="000B5CF8"/>
    <w:rsid w:val="000F3233"/>
    <w:rsid w:val="00111EBB"/>
    <w:rsid w:val="001239B9"/>
    <w:rsid w:val="00144B58"/>
    <w:rsid w:val="00160DB5"/>
    <w:rsid w:val="00192BA2"/>
    <w:rsid w:val="001A641B"/>
    <w:rsid w:val="001D1334"/>
    <w:rsid w:val="001E7D7C"/>
    <w:rsid w:val="001F2F1F"/>
    <w:rsid w:val="002145AF"/>
    <w:rsid w:val="00240DF1"/>
    <w:rsid w:val="00247D8D"/>
    <w:rsid w:val="00250B5D"/>
    <w:rsid w:val="002529A1"/>
    <w:rsid w:val="00264A0B"/>
    <w:rsid w:val="002A38B7"/>
    <w:rsid w:val="002D6617"/>
    <w:rsid w:val="002E1FB2"/>
    <w:rsid w:val="002E50C7"/>
    <w:rsid w:val="002F4F1D"/>
    <w:rsid w:val="00301F33"/>
    <w:rsid w:val="00302669"/>
    <w:rsid w:val="00352C75"/>
    <w:rsid w:val="00364DD5"/>
    <w:rsid w:val="003675A8"/>
    <w:rsid w:val="00390840"/>
    <w:rsid w:val="003A45E1"/>
    <w:rsid w:val="003C6C8B"/>
    <w:rsid w:val="003C7E91"/>
    <w:rsid w:val="003D3DB2"/>
    <w:rsid w:val="003E42B2"/>
    <w:rsid w:val="003E7432"/>
    <w:rsid w:val="004076EB"/>
    <w:rsid w:val="00411930"/>
    <w:rsid w:val="004260CC"/>
    <w:rsid w:val="004723DB"/>
    <w:rsid w:val="004A5C71"/>
    <w:rsid w:val="004C4751"/>
    <w:rsid w:val="004D6A67"/>
    <w:rsid w:val="004E4BA9"/>
    <w:rsid w:val="004F12C9"/>
    <w:rsid w:val="00534AD5"/>
    <w:rsid w:val="005B0A8E"/>
    <w:rsid w:val="005C4892"/>
    <w:rsid w:val="005D7077"/>
    <w:rsid w:val="005D79D8"/>
    <w:rsid w:val="005E05CE"/>
    <w:rsid w:val="00600255"/>
    <w:rsid w:val="0062291E"/>
    <w:rsid w:val="00653DC8"/>
    <w:rsid w:val="00654C5B"/>
    <w:rsid w:val="00665076"/>
    <w:rsid w:val="00666CE3"/>
    <w:rsid w:val="00672E9F"/>
    <w:rsid w:val="00672FE4"/>
    <w:rsid w:val="00695CAC"/>
    <w:rsid w:val="006E028D"/>
    <w:rsid w:val="006E26B1"/>
    <w:rsid w:val="00702A5D"/>
    <w:rsid w:val="00717CD6"/>
    <w:rsid w:val="007578AE"/>
    <w:rsid w:val="0078783B"/>
    <w:rsid w:val="007A4155"/>
    <w:rsid w:val="007B713D"/>
    <w:rsid w:val="007C6C07"/>
    <w:rsid w:val="007E6D67"/>
    <w:rsid w:val="007F1478"/>
    <w:rsid w:val="0084195B"/>
    <w:rsid w:val="00856E13"/>
    <w:rsid w:val="008B1117"/>
    <w:rsid w:val="008D4C4E"/>
    <w:rsid w:val="009546D7"/>
    <w:rsid w:val="00973D4D"/>
    <w:rsid w:val="00992F96"/>
    <w:rsid w:val="009944E3"/>
    <w:rsid w:val="009A0F90"/>
    <w:rsid w:val="009A5354"/>
    <w:rsid w:val="009A5DA8"/>
    <w:rsid w:val="009B3135"/>
    <w:rsid w:val="009C10B6"/>
    <w:rsid w:val="009F7B2B"/>
    <w:rsid w:val="00A05827"/>
    <w:rsid w:val="00A126F4"/>
    <w:rsid w:val="00A12907"/>
    <w:rsid w:val="00A176F4"/>
    <w:rsid w:val="00A2331A"/>
    <w:rsid w:val="00A4143C"/>
    <w:rsid w:val="00A769FF"/>
    <w:rsid w:val="00A854A3"/>
    <w:rsid w:val="00A861FD"/>
    <w:rsid w:val="00A94498"/>
    <w:rsid w:val="00AD1831"/>
    <w:rsid w:val="00B14738"/>
    <w:rsid w:val="00B15E82"/>
    <w:rsid w:val="00B54E6E"/>
    <w:rsid w:val="00B600E0"/>
    <w:rsid w:val="00B66890"/>
    <w:rsid w:val="00B8650B"/>
    <w:rsid w:val="00BB580E"/>
    <w:rsid w:val="00BD7FEF"/>
    <w:rsid w:val="00C3336C"/>
    <w:rsid w:val="00C46AA3"/>
    <w:rsid w:val="00C91997"/>
    <w:rsid w:val="00C96377"/>
    <w:rsid w:val="00CE3B63"/>
    <w:rsid w:val="00D0075A"/>
    <w:rsid w:val="00D02F1F"/>
    <w:rsid w:val="00D16BBB"/>
    <w:rsid w:val="00D83964"/>
    <w:rsid w:val="00D91780"/>
    <w:rsid w:val="00D96D8D"/>
    <w:rsid w:val="00DC0C4C"/>
    <w:rsid w:val="00DE4190"/>
    <w:rsid w:val="00DE7622"/>
    <w:rsid w:val="00E03460"/>
    <w:rsid w:val="00E07C76"/>
    <w:rsid w:val="00E10C29"/>
    <w:rsid w:val="00E21038"/>
    <w:rsid w:val="00E3789C"/>
    <w:rsid w:val="00E44564"/>
    <w:rsid w:val="00E577B2"/>
    <w:rsid w:val="00E936F7"/>
    <w:rsid w:val="00EB0751"/>
    <w:rsid w:val="00EB2B55"/>
    <w:rsid w:val="00EE1870"/>
    <w:rsid w:val="00F05F8C"/>
    <w:rsid w:val="00F43AA6"/>
    <w:rsid w:val="00F45F14"/>
    <w:rsid w:val="00F84FA5"/>
    <w:rsid w:val="00F8707A"/>
    <w:rsid w:val="00F87CCA"/>
    <w:rsid w:val="00FC10A4"/>
    <w:rsid w:val="00FC4D5B"/>
    <w:rsid w:val="04E2314F"/>
    <w:rsid w:val="05A21735"/>
    <w:rsid w:val="087C7CC4"/>
    <w:rsid w:val="0A3C0164"/>
    <w:rsid w:val="0BDD60F9"/>
    <w:rsid w:val="0FE43E02"/>
    <w:rsid w:val="11620195"/>
    <w:rsid w:val="116946CE"/>
    <w:rsid w:val="11C87B39"/>
    <w:rsid w:val="11EA3F47"/>
    <w:rsid w:val="13CC58CF"/>
    <w:rsid w:val="14331CB2"/>
    <w:rsid w:val="150C5D75"/>
    <w:rsid w:val="16BD2F50"/>
    <w:rsid w:val="17814103"/>
    <w:rsid w:val="190C288F"/>
    <w:rsid w:val="1B8462B0"/>
    <w:rsid w:val="1D1E7116"/>
    <w:rsid w:val="1DAE0FF8"/>
    <w:rsid w:val="1F82606A"/>
    <w:rsid w:val="1F8C04B5"/>
    <w:rsid w:val="1FA471AC"/>
    <w:rsid w:val="21083A01"/>
    <w:rsid w:val="263515B4"/>
    <w:rsid w:val="2A5E2C88"/>
    <w:rsid w:val="2F7964B4"/>
    <w:rsid w:val="31B16083"/>
    <w:rsid w:val="31DC7CCC"/>
    <w:rsid w:val="31F84007"/>
    <w:rsid w:val="33EE1D21"/>
    <w:rsid w:val="34887617"/>
    <w:rsid w:val="360318A8"/>
    <w:rsid w:val="36C6735F"/>
    <w:rsid w:val="37044ABA"/>
    <w:rsid w:val="3B5568A1"/>
    <w:rsid w:val="3C02390E"/>
    <w:rsid w:val="3D097971"/>
    <w:rsid w:val="3F4E50D7"/>
    <w:rsid w:val="41D1346C"/>
    <w:rsid w:val="426F7A08"/>
    <w:rsid w:val="42D31FED"/>
    <w:rsid w:val="47DB1E71"/>
    <w:rsid w:val="4922756D"/>
    <w:rsid w:val="4A5E657A"/>
    <w:rsid w:val="4F4405DB"/>
    <w:rsid w:val="4F6A776F"/>
    <w:rsid w:val="508166BD"/>
    <w:rsid w:val="51DA1410"/>
    <w:rsid w:val="52A116FA"/>
    <w:rsid w:val="534053B7"/>
    <w:rsid w:val="535B4F37"/>
    <w:rsid w:val="55A41A91"/>
    <w:rsid w:val="574151D6"/>
    <w:rsid w:val="580F7106"/>
    <w:rsid w:val="59886FE5"/>
    <w:rsid w:val="5B134EFF"/>
    <w:rsid w:val="5B36349A"/>
    <w:rsid w:val="5B9938B6"/>
    <w:rsid w:val="5B9F67B1"/>
    <w:rsid w:val="5E084C26"/>
    <w:rsid w:val="5E626CFC"/>
    <w:rsid w:val="5F770109"/>
    <w:rsid w:val="5FCD4EF5"/>
    <w:rsid w:val="6356208C"/>
    <w:rsid w:val="63F61C71"/>
    <w:rsid w:val="641240E0"/>
    <w:rsid w:val="647506AB"/>
    <w:rsid w:val="64E67EFB"/>
    <w:rsid w:val="65295CAB"/>
    <w:rsid w:val="73471DDD"/>
    <w:rsid w:val="740D7C43"/>
    <w:rsid w:val="77F377FB"/>
    <w:rsid w:val="784C48A8"/>
    <w:rsid w:val="79282F5E"/>
    <w:rsid w:val="7A7F402F"/>
    <w:rsid w:val="7BE124E5"/>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正文文本缩进1"/>
    <w:basedOn w:val="1"/>
    <w:qFormat/>
    <w:uiPriority w:val="0"/>
    <w:pPr>
      <w:ind w:left="-141"/>
    </w:pPr>
    <w:rPr>
      <w:sz w:val="28"/>
      <w:szCs w:val="24"/>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qFormat/>
    <w:uiPriority w:val="34"/>
    <w:pPr>
      <w:ind w:left="720"/>
      <w:contextualSpacing/>
    </w:p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D6FF3-4582-46BC-9B42-5C3311B1942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2877</Words>
  <Characters>3069</Characters>
  <Lines>27</Lines>
  <Paragraphs>7</Paragraphs>
  <TotalTime>32</TotalTime>
  <ScaleCrop>false</ScaleCrop>
  <LinksUpToDate>false</LinksUpToDate>
  <CharactersWithSpaces>3705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2025-11-27T03:26:00Z</dcterms:created>
  <dc:creator>Administrator</dc:creator>
  <cp:lastModifiedBy>Mr.帅气的cyq</cp:lastModifiedBy>
  <dcterms:modified xsi:type="dcterms:W3CDTF">2025-11-27T07:06:40Z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B863570B2D8645049578E2BB17F2386A_13</vt:lpwstr>
  </property>
  <property fmtid="{D5CDD505-2E9C-101B-9397-08002B2CF9AE}" pid="4" name="KSOTemplateDocerSaveRecord">
    <vt:lpwstr>eyJoZGlkIjoiOTQyYmNiYTExODAyMDM4MTFmNmFiZDlhMGRjNzBmZGUiLCJ1c2VySWQiOiI0MTU3NjI2OTgifQ==</vt:lpwstr>
  </property>
</Properties>
</file>